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AF8D" w14:textId="6F17BBE6" w:rsidR="00EC35DE" w:rsidRPr="00810505" w:rsidRDefault="00AA0393" w:rsidP="000C23C2">
      <w:pPr>
        <w:pStyle w:val="Title"/>
        <w:rPr>
          <w:rFonts w:ascii="Bookman Old Style" w:hAnsi="Bookman Old Style" w:cs="Arial"/>
          <w:b/>
          <w:bCs/>
          <w:sz w:val="20"/>
          <w:szCs w:val="20"/>
        </w:rPr>
      </w:pPr>
      <w:r>
        <w:rPr>
          <w:rFonts w:ascii="Bookman Old Style" w:hAnsi="Bookman Old Style" w:cs="Arial"/>
          <w:b/>
          <w:bCs/>
          <w:sz w:val="20"/>
          <w:szCs w:val="20"/>
        </w:rPr>
        <w:tab/>
      </w:r>
    </w:p>
    <w:p w14:paraId="2811936F" w14:textId="77777777" w:rsidR="00EC35DE" w:rsidRPr="00810505" w:rsidRDefault="00EC35DE" w:rsidP="000C23C2">
      <w:pPr>
        <w:pStyle w:val="Title"/>
        <w:rPr>
          <w:rFonts w:ascii="Bookman Old Style" w:hAnsi="Bookman Old Style" w:cs="Arial"/>
          <w:b/>
          <w:bCs/>
          <w:sz w:val="20"/>
          <w:szCs w:val="20"/>
        </w:rPr>
      </w:pPr>
    </w:p>
    <w:p w14:paraId="711D1895" w14:textId="77777777" w:rsidR="00EC35DE" w:rsidRPr="00810505" w:rsidRDefault="00EC35DE" w:rsidP="000C23C2">
      <w:pPr>
        <w:pStyle w:val="Title"/>
        <w:rPr>
          <w:rFonts w:ascii="Bookman Old Style" w:hAnsi="Bookman Old Style" w:cs="Arial"/>
          <w:b/>
          <w:bCs/>
          <w:sz w:val="20"/>
          <w:szCs w:val="20"/>
        </w:rPr>
      </w:pPr>
    </w:p>
    <w:p w14:paraId="67223432" w14:textId="77777777" w:rsidR="00EC35DE" w:rsidRDefault="00EC35DE" w:rsidP="000C23C2">
      <w:pPr>
        <w:pStyle w:val="Title"/>
        <w:rPr>
          <w:rFonts w:ascii="Bookman Old Style" w:hAnsi="Bookman Old Style" w:cs="Arial"/>
          <w:b/>
          <w:bCs/>
          <w:sz w:val="20"/>
          <w:szCs w:val="20"/>
        </w:rPr>
      </w:pPr>
    </w:p>
    <w:p w14:paraId="0D2CE259" w14:textId="77777777" w:rsidR="00D71C0E" w:rsidRDefault="00D71C0E" w:rsidP="00D71C0E"/>
    <w:p w14:paraId="6ADAA4B0" w14:textId="77777777" w:rsidR="00D71C0E" w:rsidRDefault="00D71C0E" w:rsidP="00D71C0E"/>
    <w:p w14:paraId="79B2E509" w14:textId="77777777" w:rsidR="00D71C0E" w:rsidRPr="00D71C0E" w:rsidRDefault="00D71C0E" w:rsidP="00D71C0E"/>
    <w:p w14:paraId="7D6F1C25" w14:textId="77777777" w:rsidR="00EC35DE" w:rsidRPr="00810505" w:rsidRDefault="00EC35DE" w:rsidP="000C23C2">
      <w:pPr>
        <w:pStyle w:val="Title"/>
        <w:rPr>
          <w:rFonts w:ascii="Bookman Old Style" w:hAnsi="Bookman Old Style" w:cs="Arial"/>
          <w:b/>
          <w:bCs/>
          <w:sz w:val="20"/>
          <w:szCs w:val="20"/>
        </w:rPr>
      </w:pPr>
    </w:p>
    <w:p w14:paraId="162E4C24" w14:textId="77777777" w:rsidR="00EC35DE" w:rsidRPr="00810505" w:rsidRDefault="00EC35DE" w:rsidP="000C23C2">
      <w:pPr>
        <w:pStyle w:val="Title"/>
        <w:rPr>
          <w:rFonts w:ascii="Bookman Old Style" w:hAnsi="Bookman Old Style" w:cs="Arial"/>
          <w:b/>
          <w:bCs/>
          <w:sz w:val="20"/>
          <w:szCs w:val="20"/>
        </w:rPr>
      </w:pPr>
    </w:p>
    <w:p w14:paraId="6F020301" w14:textId="77777777" w:rsidR="00EC35DE" w:rsidRPr="00810505" w:rsidRDefault="00EC35DE" w:rsidP="003D59C8">
      <w:pPr>
        <w:pStyle w:val="Title"/>
        <w:jc w:val="center"/>
        <w:rPr>
          <w:rFonts w:ascii="Bookman Old Style" w:hAnsi="Bookman Old Style" w:cs="Arial"/>
          <w:b/>
          <w:bCs/>
          <w:sz w:val="20"/>
          <w:szCs w:val="20"/>
        </w:rPr>
      </w:pPr>
    </w:p>
    <w:p w14:paraId="324E3CAD" w14:textId="07ADC81C" w:rsidR="000C23C2" w:rsidRPr="00810505" w:rsidRDefault="005A587A" w:rsidP="003D59C8">
      <w:pPr>
        <w:pStyle w:val="Title"/>
        <w:jc w:val="center"/>
        <w:rPr>
          <w:rFonts w:ascii="Bookman Old Style" w:hAnsi="Bookman Old Style"/>
          <w:spacing w:val="0"/>
        </w:rPr>
      </w:pPr>
      <w:r w:rsidRPr="00810505">
        <w:rPr>
          <w:rFonts w:ascii="Bookman Old Style" w:hAnsi="Bookman Old Style"/>
          <w:spacing w:val="0"/>
        </w:rPr>
        <w:t xml:space="preserve">PREVENTION OF MONEY LAUNDERING </w:t>
      </w:r>
      <w:r w:rsidR="00EF3C8D">
        <w:rPr>
          <w:rFonts w:ascii="Bookman Old Style" w:hAnsi="Bookman Old Style"/>
          <w:spacing w:val="0"/>
        </w:rPr>
        <w:t>and</w:t>
      </w:r>
      <w:r w:rsidR="00F26D3E">
        <w:rPr>
          <w:rFonts w:ascii="Bookman Old Style" w:hAnsi="Bookman Old Style"/>
          <w:spacing w:val="0"/>
        </w:rPr>
        <w:t xml:space="preserve"> know</w:t>
      </w:r>
      <w:r w:rsidR="00EF3C8D">
        <w:rPr>
          <w:rFonts w:ascii="Bookman Old Style" w:hAnsi="Bookman Old Style"/>
          <w:spacing w:val="0"/>
        </w:rPr>
        <w:t xml:space="preserve"> your client </w:t>
      </w:r>
      <w:r w:rsidRPr="00810505">
        <w:rPr>
          <w:rFonts w:ascii="Bookman Old Style" w:hAnsi="Bookman Old Style"/>
          <w:spacing w:val="0"/>
        </w:rPr>
        <w:t>POLICY</w:t>
      </w:r>
    </w:p>
    <w:p w14:paraId="6D5C9555" w14:textId="71B84248" w:rsidR="00EC35DE" w:rsidRPr="00810505" w:rsidRDefault="00213138" w:rsidP="009E43E0">
      <w:pPr>
        <w:jc w:val="center"/>
        <w:rPr>
          <w:rFonts w:ascii="Bookman Old Style" w:hAnsi="Bookman Old Style" w:cs="Arial"/>
          <w:b/>
          <w:bCs/>
          <w:sz w:val="28"/>
          <w:szCs w:val="28"/>
        </w:rPr>
      </w:pPr>
      <w:proofErr w:type="spellStart"/>
      <w:r>
        <w:rPr>
          <w:rFonts w:ascii="Bookman Old Style" w:hAnsi="Bookman Old Style"/>
          <w:b/>
          <w:bCs/>
          <w:sz w:val="28"/>
          <w:szCs w:val="28"/>
        </w:rPr>
        <w:t>companyfullname</w:t>
      </w:r>
      <w:proofErr w:type="spellEnd"/>
      <w:r w:rsidR="00EC35DE" w:rsidRPr="00810505">
        <w:rPr>
          <w:rFonts w:ascii="Bookman Old Style" w:hAnsi="Bookman Old Style" w:cs="Arial"/>
          <w:b/>
          <w:bCs/>
          <w:sz w:val="28"/>
          <w:szCs w:val="28"/>
        </w:rPr>
        <w:br w:type="page"/>
      </w:r>
    </w:p>
    <w:p w14:paraId="3CA7EA45" w14:textId="77777777" w:rsidR="003E6545" w:rsidRPr="00810505" w:rsidRDefault="003E6545" w:rsidP="00FC23D3">
      <w:pPr>
        <w:jc w:val="both"/>
        <w:rPr>
          <w:rFonts w:ascii="Bookman Old Style" w:hAnsi="Bookman Old Style" w:cs="Arial"/>
          <w:b/>
          <w:bCs/>
        </w:rPr>
      </w:pPr>
    </w:p>
    <w:sdt>
      <w:sdtPr>
        <w:rPr>
          <w:rFonts w:ascii="Bookman Old Style" w:hAnsi="Bookman Old Style" w:cs="Arial"/>
          <w:b/>
          <w:bCs/>
        </w:rPr>
        <w:id w:val="-1002121932"/>
        <w:docPartObj>
          <w:docPartGallery w:val="Table of Contents"/>
          <w:docPartUnique/>
        </w:docPartObj>
      </w:sdtPr>
      <w:sdtEndPr>
        <w:rPr>
          <w:b w:val="0"/>
          <w:bCs w:val="0"/>
          <w:noProof/>
        </w:rPr>
      </w:sdtEndPr>
      <w:sdtContent>
        <w:p w14:paraId="616DBB55" w14:textId="2219F7F4" w:rsidR="003E13A7" w:rsidRPr="00810505" w:rsidRDefault="003E13A7" w:rsidP="003E6545">
          <w:pPr>
            <w:spacing w:after="0"/>
            <w:jc w:val="both"/>
            <w:rPr>
              <w:rFonts w:ascii="Bookman Old Style" w:hAnsi="Bookman Old Style" w:cs="Arial"/>
              <w:b/>
              <w:bCs/>
            </w:rPr>
          </w:pPr>
          <w:r w:rsidRPr="00810505">
            <w:rPr>
              <w:rFonts w:ascii="Bookman Old Style" w:hAnsi="Bookman Old Style" w:cs="Arial"/>
              <w:b/>
              <w:bCs/>
            </w:rPr>
            <w:t>TABLE OF CONTENTS</w:t>
          </w:r>
        </w:p>
        <w:p w14:paraId="1E0726A0" w14:textId="400B8FAF" w:rsidR="000E1622" w:rsidRPr="000E1622" w:rsidRDefault="003E13A7" w:rsidP="000E1622">
          <w:pPr>
            <w:pStyle w:val="TOC2"/>
          </w:pPr>
          <w:r w:rsidRPr="00810505">
            <w:rPr>
              <w:rFonts w:ascii="Arial" w:hAnsi="Arial"/>
              <w:caps/>
              <w:noProof w:val="0"/>
            </w:rPr>
            <w:fldChar w:fldCharType="begin"/>
          </w:r>
          <w:r w:rsidRPr="00810505">
            <w:instrText xml:space="preserve"> TOC \o "1-3" \h \z \u </w:instrText>
          </w:r>
          <w:r w:rsidRPr="00810505">
            <w:rPr>
              <w:rFonts w:ascii="Arial" w:hAnsi="Arial"/>
              <w:caps/>
              <w:noProof w:val="0"/>
            </w:rPr>
            <w:fldChar w:fldCharType="separate"/>
          </w:r>
          <w:hyperlink w:anchor="_Toc229159927" w:history="1">
            <w:r w:rsidR="000E1622" w:rsidRPr="000E1622">
              <w:rPr>
                <w:rStyle w:val="Hyperlink"/>
              </w:rPr>
              <w:t>Section I: Anti-Money Laundering Policy</w:t>
            </w:r>
            <w:r w:rsidR="000E1622" w:rsidRPr="000E1622">
              <w:rPr>
                <w:webHidden/>
              </w:rPr>
              <w:tab/>
            </w:r>
            <w:r w:rsidR="000E1622" w:rsidRPr="000E1622">
              <w:rPr>
                <w:webHidden/>
              </w:rPr>
              <w:fldChar w:fldCharType="begin"/>
            </w:r>
            <w:r w:rsidR="000E1622" w:rsidRPr="000E1622">
              <w:rPr>
                <w:webHidden/>
              </w:rPr>
              <w:instrText xml:space="preserve"> PAGEREF _Toc229159927 \h </w:instrText>
            </w:r>
            <w:r w:rsidR="000E1622" w:rsidRPr="000E1622">
              <w:rPr>
                <w:webHidden/>
              </w:rPr>
            </w:r>
            <w:r w:rsidR="000E1622" w:rsidRPr="000E1622">
              <w:rPr>
                <w:webHidden/>
              </w:rPr>
              <w:fldChar w:fldCharType="separate"/>
            </w:r>
            <w:r w:rsidR="000E1622" w:rsidRPr="000E1622">
              <w:rPr>
                <w:webHidden/>
              </w:rPr>
              <w:t>4</w:t>
            </w:r>
            <w:r w:rsidR="000E1622" w:rsidRPr="000E1622">
              <w:rPr>
                <w:webHidden/>
              </w:rPr>
              <w:fldChar w:fldCharType="end"/>
            </w:r>
          </w:hyperlink>
        </w:p>
        <w:p w14:paraId="136199CD" w14:textId="49EEC959"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28" w:history="1">
            <w:r w:rsidRPr="00386B37">
              <w:rPr>
                <w:rStyle w:val="Hyperlink"/>
                <w:rFonts w:ascii="Bookman Old Style" w:hAnsi="Bookman Old Style"/>
              </w:rPr>
              <w:t>Introduction/ Background</w:t>
            </w:r>
            <w:r>
              <w:rPr>
                <w:webHidden/>
              </w:rPr>
              <w:tab/>
            </w:r>
            <w:r>
              <w:rPr>
                <w:webHidden/>
              </w:rPr>
              <w:fldChar w:fldCharType="begin"/>
            </w:r>
            <w:r>
              <w:rPr>
                <w:webHidden/>
              </w:rPr>
              <w:instrText xml:space="preserve"> PAGEREF _Toc229159928 \h </w:instrText>
            </w:r>
            <w:r>
              <w:rPr>
                <w:webHidden/>
              </w:rPr>
            </w:r>
            <w:r>
              <w:rPr>
                <w:webHidden/>
              </w:rPr>
              <w:fldChar w:fldCharType="separate"/>
            </w:r>
            <w:r>
              <w:rPr>
                <w:webHidden/>
              </w:rPr>
              <w:t>4</w:t>
            </w:r>
            <w:r>
              <w:rPr>
                <w:webHidden/>
              </w:rPr>
              <w:fldChar w:fldCharType="end"/>
            </w:r>
          </w:hyperlink>
        </w:p>
        <w:p w14:paraId="22560080" w14:textId="26AE529A"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29" w:history="1">
            <w:r w:rsidRPr="00386B37">
              <w:rPr>
                <w:rStyle w:val="Hyperlink"/>
                <w:rFonts w:ascii="Bookman Old Style" w:eastAsia="Arial" w:hAnsi="Bookman Old Style"/>
              </w:rPr>
              <w:t>scope</w:t>
            </w:r>
            <w:r>
              <w:rPr>
                <w:webHidden/>
              </w:rPr>
              <w:tab/>
            </w:r>
            <w:r>
              <w:rPr>
                <w:webHidden/>
              </w:rPr>
              <w:fldChar w:fldCharType="begin"/>
            </w:r>
            <w:r>
              <w:rPr>
                <w:webHidden/>
              </w:rPr>
              <w:instrText xml:space="preserve"> PAGEREF _Toc229159929 \h </w:instrText>
            </w:r>
            <w:r>
              <w:rPr>
                <w:webHidden/>
              </w:rPr>
            </w:r>
            <w:r>
              <w:rPr>
                <w:webHidden/>
              </w:rPr>
              <w:fldChar w:fldCharType="separate"/>
            </w:r>
            <w:r>
              <w:rPr>
                <w:webHidden/>
              </w:rPr>
              <w:t>4</w:t>
            </w:r>
            <w:r>
              <w:rPr>
                <w:webHidden/>
              </w:rPr>
              <w:fldChar w:fldCharType="end"/>
            </w:r>
          </w:hyperlink>
        </w:p>
        <w:p w14:paraId="585DFCB9" w14:textId="0BD9EB2D"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0" w:history="1">
            <w:r w:rsidRPr="00386B37">
              <w:rPr>
                <w:rStyle w:val="Hyperlink"/>
                <w:rFonts w:ascii="Bookman Old Style" w:hAnsi="Bookman Old Style"/>
              </w:rPr>
              <w:t>objective</w:t>
            </w:r>
            <w:r>
              <w:rPr>
                <w:webHidden/>
              </w:rPr>
              <w:tab/>
            </w:r>
            <w:r>
              <w:rPr>
                <w:webHidden/>
              </w:rPr>
              <w:fldChar w:fldCharType="begin"/>
            </w:r>
            <w:r>
              <w:rPr>
                <w:webHidden/>
              </w:rPr>
              <w:instrText xml:space="preserve"> PAGEREF _Toc229159930 \h </w:instrText>
            </w:r>
            <w:r>
              <w:rPr>
                <w:webHidden/>
              </w:rPr>
            </w:r>
            <w:r>
              <w:rPr>
                <w:webHidden/>
              </w:rPr>
              <w:fldChar w:fldCharType="separate"/>
            </w:r>
            <w:r>
              <w:rPr>
                <w:webHidden/>
              </w:rPr>
              <w:t>4</w:t>
            </w:r>
            <w:r>
              <w:rPr>
                <w:webHidden/>
              </w:rPr>
              <w:fldChar w:fldCharType="end"/>
            </w:r>
          </w:hyperlink>
        </w:p>
        <w:p w14:paraId="28B53753" w14:textId="5CD11B5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1" w:history="1">
            <w:r w:rsidRPr="00386B37">
              <w:rPr>
                <w:rStyle w:val="Hyperlink"/>
                <w:rFonts w:ascii="Bookman Old Style" w:hAnsi="Bookman Old Style"/>
                <w:lang w:val="en-IN"/>
              </w:rPr>
              <w:t>Obligation to establish policies and procedures</w:t>
            </w:r>
            <w:r>
              <w:rPr>
                <w:webHidden/>
              </w:rPr>
              <w:tab/>
            </w:r>
            <w:r>
              <w:rPr>
                <w:webHidden/>
              </w:rPr>
              <w:fldChar w:fldCharType="begin"/>
            </w:r>
            <w:r>
              <w:rPr>
                <w:webHidden/>
              </w:rPr>
              <w:instrText xml:space="preserve"> PAGEREF _Toc229159931 \h </w:instrText>
            </w:r>
            <w:r>
              <w:rPr>
                <w:webHidden/>
              </w:rPr>
            </w:r>
            <w:r>
              <w:rPr>
                <w:webHidden/>
              </w:rPr>
              <w:fldChar w:fldCharType="separate"/>
            </w:r>
            <w:r>
              <w:rPr>
                <w:webHidden/>
              </w:rPr>
              <w:t>4</w:t>
            </w:r>
            <w:r>
              <w:rPr>
                <w:webHidden/>
              </w:rPr>
              <w:fldChar w:fldCharType="end"/>
            </w:r>
          </w:hyperlink>
        </w:p>
        <w:p w14:paraId="4B183721" w14:textId="2D1BC1B7"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2" w:history="1">
            <w:r w:rsidRPr="00386B37">
              <w:rPr>
                <w:rStyle w:val="Hyperlink"/>
                <w:rFonts w:ascii="Bookman Old Style" w:hAnsi="Bookman Old Style"/>
              </w:rPr>
              <w:t>Written Anti-Money Laundering Procedures</w:t>
            </w:r>
            <w:r>
              <w:rPr>
                <w:webHidden/>
              </w:rPr>
              <w:tab/>
            </w:r>
            <w:r>
              <w:rPr>
                <w:webHidden/>
              </w:rPr>
              <w:fldChar w:fldCharType="begin"/>
            </w:r>
            <w:r>
              <w:rPr>
                <w:webHidden/>
              </w:rPr>
              <w:instrText xml:space="preserve"> PAGEREF _Toc229159932 \h </w:instrText>
            </w:r>
            <w:r>
              <w:rPr>
                <w:webHidden/>
              </w:rPr>
            </w:r>
            <w:r>
              <w:rPr>
                <w:webHidden/>
              </w:rPr>
              <w:fldChar w:fldCharType="separate"/>
            </w:r>
            <w:r>
              <w:rPr>
                <w:webHidden/>
              </w:rPr>
              <w:t>6</w:t>
            </w:r>
            <w:r>
              <w:rPr>
                <w:webHidden/>
              </w:rPr>
              <w:fldChar w:fldCharType="end"/>
            </w:r>
          </w:hyperlink>
        </w:p>
        <w:p w14:paraId="7B07CDDE" w14:textId="56D3FB9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3" w:history="1">
            <w:r w:rsidRPr="00386B37">
              <w:rPr>
                <w:rStyle w:val="Hyperlink"/>
                <w:rFonts w:ascii="Bookman Old Style" w:hAnsi="Bookman Old Style"/>
              </w:rPr>
              <w:t>Client Due Diligence (CDD) Procedures</w:t>
            </w:r>
            <w:r>
              <w:rPr>
                <w:webHidden/>
              </w:rPr>
              <w:tab/>
            </w:r>
            <w:r>
              <w:rPr>
                <w:webHidden/>
              </w:rPr>
              <w:fldChar w:fldCharType="begin"/>
            </w:r>
            <w:r>
              <w:rPr>
                <w:webHidden/>
              </w:rPr>
              <w:instrText xml:space="preserve"> PAGEREF _Toc229159933 \h </w:instrText>
            </w:r>
            <w:r>
              <w:rPr>
                <w:webHidden/>
              </w:rPr>
            </w:r>
            <w:r>
              <w:rPr>
                <w:webHidden/>
              </w:rPr>
              <w:fldChar w:fldCharType="separate"/>
            </w:r>
            <w:r>
              <w:rPr>
                <w:webHidden/>
              </w:rPr>
              <w:t>6</w:t>
            </w:r>
            <w:r>
              <w:rPr>
                <w:webHidden/>
              </w:rPr>
              <w:fldChar w:fldCharType="end"/>
            </w:r>
          </w:hyperlink>
        </w:p>
        <w:p w14:paraId="7571B887" w14:textId="28009BB9"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4" w:history="1">
            <w:r w:rsidRPr="00386B37">
              <w:rPr>
                <w:rStyle w:val="Hyperlink"/>
                <w:rFonts w:ascii="Bookman Old Style" w:hAnsi="Bookman Old Style"/>
              </w:rPr>
              <w:t>Policy for Acceptance of Clients</w:t>
            </w:r>
            <w:r>
              <w:rPr>
                <w:webHidden/>
              </w:rPr>
              <w:tab/>
            </w:r>
            <w:r>
              <w:rPr>
                <w:webHidden/>
              </w:rPr>
              <w:fldChar w:fldCharType="begin"/>
            </w:r>
            <w:r>
              <w:rPr>
                <w:webHidden/>
              </w:rPr>
              <w:instrText xml:space="preserve"> PAGEREF _Toc229159934 \h </w:instrText>
            </w:r>
            <w:r>
              <w:rPr>
                <w:webHidden/>
              </w:rPr>
            </w:r>
            <w:r>
              <w:rPr>
                <w:webHidden/>
              </w:rPr>
              <w:fldChar w:fldCharType="separate"/>
            </w:r>
            <w:r>
              <w:rPr>
                <w:webHidden/>
              </w:rPr>
              <w:t>9</w:t>
            </w:r>
            <w:r>
              <w:rPr>
                <w:webHidden/>
              </w:rPr>
              <w:fldChar w:fldCharType="end"/>
            </w:r>
          </w:hyperlink>
        </w:p>
        <w:p w14:paraId="26C10F0D" w14:textId="7D8403AB"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5" w:history="1">
            <w:r w:rsidRPr="00386B37">
              <w:rPr>
                <w:rStyle w:val="Hyperlink"/>
                <w:rFonts w:ascii="Bookman Old Style" w:hAnsi="Bookman Old Style"/>
              </w:rPr>
              <w:t>Client Identification Procedure (CIP)</w:t>
            </w:r>
            <w:r>
              <w:rPr>
                <w:webHidden/>
              </w:rPr>
              <w:tab/>
            </w:r>
            <w:r>
              <w:rPr>
                <w:webHidden/>
              </w:rPr>
              <w:fldChar w:fldCharType="begin"/>
            </w:r>
            <w:r>
              <w:rPr>
                <w:webHidden/>
              </w:rPr>
              <w:instrText xml:space="preserve"> PAGEREF _Toc229159935 \h </w:instrText>
            </w:r>
            <w:r>
              <w:rPr>
                <w:webHidden/>
              </w:rPr>
            </w:r>
            <w:r>
              <w:rPr>
                <w:webHidden/>
              </w:rPr>
              <w:fldChar w:fldCharType="separate"/>
            </w:r>
            <w:r>
              <w:rPr>
                <w:webHidden/>
              </w:rPr>
              <w:t>11</w:t>
            </w:r>
            <w:r>
              <w:rPr>
                <w:webHidden/>
              </w:rPr>
              <w:fldChar w:fldCharType="end"/>
            </w:r>
          </w:hyperlink>
        </w:p>
        <w:p w14:paraId="576B30E0" w14:textId="71C4D3A8"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6" w:history="1">
            <w:r w:rsidRPr="00386B37">
              <w:rPr>
                <w:rStyle w:val="Hyperlink"/>
                <w:rFonts w:ascii="Bookman Old Style" w:hAnsi="Bookman Old Style"/>
              </w:rPr>
              <w:t>Reliance on Third Party for Carrying Out Client Due Diligence (CDD)</w:t>
            </w:r>
            <w:r>
              <w:rPr>
                <w:webHidden/>
              </w:rPr>
              <w:tab/>
            </w:r>
            <w:r>
              <w:rPr>
                <w:webHidden/>
              </w:rPr>
              <w:fldChar w:fldCharType="begin"/>
            </w:r>
            <w:r>
              <w:rPr>
                <w:webHidden/>
              </w:rPr>
              <w:instrText xml:space="preserve"> PAGEREF _Toc229159936 \h </w:instrText>
            </w:r>
            <w:r>
              <w:rPr>
                <w:webHidden/>
              </w:rPr>
            </w:r>
            <w:r>
              <w:rPr>
                <w:webHidden/>
              </w:rPr>
              <w:fldChar w:fldCharType="separate"/>
            </w:r>
            <w:r>
              <w:rPr>
                <w:webHidden/>
              </w:rPr>
              <w:t>13</w:t>
            </w:r>
            <w:r>
              <w:rPr>
                <w:webHidden/>
              </w:rPr>
              <w:fldChar w:fldCharType="end"/>
            </w:r>
          </w:hyperlink>
        </w:p>
        <w:p w14:paraId="463EE255" w14:textId="3362EE9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7" w:history="1">
            <w:r w:rsidRPr="00386B37">
              <w:rPr>
                <w:rStyle w:val="Hyperlink"/>
                <w:rFonts w:ascii="Bookman Old Style" w:hAnsi="Bookman Old Style"/>
              </w:rPr>
              <w:t>Risk Management</w:t>
            </w:r>
            <w:r>
              <w:rPr>
                <w:webHidden/>
              </w:rPr>
              <w:tab/>
            </w:r>
            <w:r>
              <w:rPr>
                <w:webHidden/>
              </w:rPr>
              <w:fldChar w:fldCharType="begin"/>
            </w:r>
            <w:r>
              <w:rPr>
                <w:webHidden/>
              </w:rPr>
              <w:instrText xml:space="preserve"> PAGEREF _Toc229159937 \h </w:instrText>
            </w:r>
            <w:r>
              <w:rPr>
                <w:webHidden/>
              </w:rPr>
            </w:r>
            <w:r>
              <w:rPr>
                <w:webHidden/>
              </w:rPr>
              <w:fldChar w:fldCharType="separate"/>
            </w:r>
            <w:r>
              <w:rPr>
                <w:webHidden/>
              </w:rPr>
              <w:t>14</w:t>
            </w:r>
            <w:r>
              <w:rPr>
                <w:webHidden/>
              </w:rPr>
              <w:fldChar w:fldCharType="end"/>
            </w:r>
          </w:hyperlink>
        </w:p>
        <w:p w14:paraId="757DB25D" w14:textId="19794C77"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8" w:history="1">
            <w:r w:rsidRPr="00386B37">
              <w:rPr>
                <w:rStyle w:val="Hyperlink"/>
                <w:rFonts w:ascii="Bookman Old Style" w:hAnsi="Bookman Old Style"/>
              </w:rPr>
              <w:t>Monitoring of Transactions</w:t>
            </w:r>
            <w:r>
              <w:rPr>
                <w:webHidden/>
              </w:rPr>
              <w:tab/>
            </w:r>
            <w:r>
              <w:rPr>
                <w:webHidden/>
              </w:rPr>
              <w:fldChar w:fldCharType="begin"/>
            </w:r>
            <w:r>
              <w:rPr>
                <w:webHidden/>
              </w:rPr>
              <w:instrText xml:space="preserve"> PAGEREF _Toc229159938 \h </w:instrText>
            </w:r>
            <w:r>
              <w:rPr>
                <w:webHidden/>
              </w:rPr>
            </w:r>
            <w:r>
              <w:rPr>
                <w:webHidden/>
              </w:rPr>
              <w:fldChar w:fldCharType="separate"/>
            </w:r>
            <w:r>
              <w:rPr>
                <w:webHidden/>
              </w:rPr>
              <w:t>15</w:t>
            </w:r>
            <w:r>
              <w:rPr>
                <w:webHidden/>
              </w:rPr>
              <w:fldChar w:fldCharType="end"/>
            </w:r>
          </w:hyperlink>
        </w:p>
        <w:p w14:paraId="723091AB" w14:textId="3F35408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39" w:history="1">
            <w:r w:rsidRPr="00386B37">
              <w:rPr>
                <w:rStyle w:val="Hyperlink"/>
                <w:rFonts w:ascii="Bookman Old Style" w:hAnsi="Bookman Old Style"/>
              </w:rPr>
              <w:t>Suspicious Transaction Monitoring and Reporting</w:t>
            </w:r>
            <w:r>
              <w:rPr>
                <w:webHidden/>
              </w:rPr>
              <w:tab/>
            </w:r>
            <w:r>
              <w:rPr>
                <w:webHidden/>
              </w:rPr>
              <w:fldChar w:fldCharType="begin"/>
            </w:r>
            <w:r>
              <w:rPr>
                <w:webHidden/>
              </w:rPr>
              <w:instrText xml:space="preserve"> PAGEREF _Toc229159939 \h </w:instrText>
            </w:r>
            <w:r>
              <w:rPr>
                <w:webHidden/>
              </w:rPr>
            </w:r>
            <w:r>
              <w:rPr>
                <w:webHidden/>
              </w:rPr>
              <w:fldChar w:fldCharType="separate"/>
            </w:r>
            <w:r>
              <w:rPr>
                <w:webHidden/>
              </w:rPr>
              <w:t>16</w:t>
            </w:r>
            <w:r>
              <w:rPr>
                <w:webHidden/>
              </w:rPr>
              <w:fldChar w:fldCharType="end"/>
            </w:r>
          </w:hyperlink>
        </w:p>
        <w:p w14:paraId="4C513EF0" w14:textId="78B142D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0" w:history="1">
            <w:r w:rsidRPr="00386B37">
              <w:rPr>
                <w:rStyle w:val="Hyperlink"/>
                <w:rFonts w:ascii="Bookman Old Style" w:hAnsi="Bookman Old Style"/>
              </w:rPr>
              <w:t>RECORD MANAGEMENT</w:t>
            </w:r>
            <w:r>
              <w:rPr>
                <w:webHidden/>
              </w:rPr>
              <w:tab/>
            </w:r>
            <w:r>
              <w:rPr>
                <w:webHidden/>
              </w:rPr>
              <w:fldChar w:fldCharType="begin"/>
            </w:r>
            <w:r>
              <w:rPr>
                <w:webHidden/>
              </w:rPr>
              <w:instrText xml:space="preserve"> PAGEREF _Toc229159940 \h </w:instrText>
            </w:r>
            <w:r>
              <w:rPr>
                <w:webHidden/>
              </w:rPr>
            </w:r>
            <w:r>
              <w:rPr>
                <w:webHidden/>
              </w:rPr>
              <w:fldChar w:fldCharType="separate"/>
            </w:r>
            <w:r>
              <w:rPr>
                <w:webHidden/>
              </w:rPr>
              <w:t>17</w:t>
            </w:r>
            <w:r>
              <w:rPr>
                <w:webHidden/>
              </w:rPr>
              <w:fldChar w:fldCharType="end"/>
            </w:r>
          </w:hyperlink>
        </w:p>
        <w:p w14:paraId="63E853BA" w14:textId="0AD78AD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1" w:history="1">
            <w:r w:rsidRPr="00386B37">
              <w:rPr>
                <w:rStyle w:val="Hyperlink"/>
                <w:rFonts w:ascii="Bookman Old Style" w:hAnsi="Bookman Old Style"/>
              </w:rPr>
              <w:t>Retention and Preservation of Records</w:t>
            </w:r>
            <w:r>
              <w:rPr>
                <w:webHidden/>
              </w:rPr>
              <w:tab/>
            </w:r>
            <w:r>
              <w:rPr>
                <w:webHidden/>
              </w:rPr>
              <w:fldChar w:fldCharType="begin"/>
            </w:r>
            <w:r>
              <w:rPr>
                <w:webHidden/>
              </w:rPr>
              <w:instrText xml:space="preserve"> PAGEREF _Toc229159941 \h </w:instrText>
            </w:r>
            <w:r>
              <w:rPr>
                <w:webHidden/>
              </w:rPr>
            </w:r>
            <w:r>
              <w:rPr>
                <w:webHidden/>
              </w:rPr>
              <w:fldChar w:fldCharType="separate"/>
            </w:r>
            <w:r>
              <w:rPr>
                <w:webHidden/>
              </w:rPr>
              <w:t>18</w:t>
            </w:r>
            <w:r>
              <w:rPr>
                <w:webHidden/>
              </w:rPr>
              <w:fldChar w:fldCharType="end"/>
            </w:r>
          </w:hyperlink>
        </w:p>
        <w:p w14:paraId="62E0FEE7" w14:textId="39BCC0A1"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2" w:history="1">
            <w:r w:rsidRPr="00386B37">
              <w:rPr>
                <w:rStyle w:val="Hyperlink"/>
                <w:rFonts w:ascii="Bookman Old Style" w:hAnsi="Bookman Old Style"/>
              </w:rPr>
              <w:t>Procedure for freezing of funds, financial assets or economic resources or related services</w:t>
            </w:r>
            <w:r>
              <w:rPr>
                <w:webHidden/>
              </w:rPr>
              <w:tab/>
            </w:r>
            <w:r>
              <w:rPr>
                <w:webHidden/>
              </w:rPr>
              <w:fldChar w:fldCharType="begin"/>
            </w:r>
            <w:r>
              <w:rPr>
                <w:webHidden/>
              </w:rPr>
              <w:instrText xml:space="preserve"> PAGEREF _Toc229159942 \h </w:instrText>
            </w:r>
            <w:r>
              <w:rPr>
                <w:webHidden/>
              </w:rPr>
            </w:r>
            <w:r>
              <w:rPr>
                <w:webHidden/>
              </w:rPr>
              <w:fldChar w:fldCharType="separate"/>
            </w:r>
            <w:r>
              <w:rPr>
                <w:webHidden/>
              </w:rPr>
              <w:t>19</w:t>
            </w:r>
            <w:r>
              <w:rPr>
                <w:webHidden/>
              </w:rPr>
              <w:fldChar w:fldCharType="end"/>
            </w:r>
          </w:hyperlink>
        </w:p>
        <w:p w14:paraId="6C9FD92E" w14:textId="61AB704D"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3" w:history="1">
            <w:r w:rsidRPr="00386B37">
              <w:rPr>
                <w:rStyle w:val="Hyperlink"/>
                <w:rFonts w:ascii="Bookman Old Style" w:hAnsi="Bookman Old Style"/>
              </w:rPr>
              <w:t>Procedure for implementation of Section 12A of the Weapons of Mass Destruction and their Delivery Systems (Prohibition of Unlawful Activities) Act, 2005 – Directions to stock exchanges and registered intermediaries</w:t>
            </w:r>
            <w:r>
              <w:rPr>
                <w:webHidden/>
              </w:rPr>
              <w:tab/>
            </w:r>
            <w:r>
              <w:rPr>
                <w:webHidden/>
              </w:rPr>
              <w:fldChar w:fldCharType="begin"/>
            </w:r>
            <w:r>
              <w:rPr>
                <w:webHidden/>
              </w:rPr>
              <w:instrText xml:space="preserve"> PAGEREF _Toc229159943 \h </w:instrText>
            </w:r>
            <w:r>
              <w:rPr>
                <w:webHidden/>
              </w:rPr>
            </w:r>
            <w:r>
              <w:rPr>
                <w:webHidden/>
              </w:rPr>
              <w:fldChar w:fldCharType="separate"/>
            </w:r>
            <w:r>
              <w:rPr>
                <w:webHidden/>
              </w:rPr>
              <w:t>19</w:t>
            </w:r>
            <w:r>
              <w:rPr>
                <w:webHidden/>
              </w:rPr>
              <w:fldChar w:fldCharType="end"/>
            </w:r>
          </w:hyperlink>
        </w:p>
        <w:p w14:paraId="4B5B9DD1" w14:textId="6512EC91"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4" w:history="1">
            <w:r w:rsidRPr="00386B37">
              <w:rPr>
                <w:rStyle w:val="Hyperlink"/>
                <w:rFonts w:ascii="Bookman Old Style" w:hAnsi="Bookman Old Style"/>
              </w:rPr>
              <w:t>List of Designated Individuals/ Entities</w:t>
            </w:r>
            <w:r>
              <w:rPr>
                <w:webHidden/>
              </w:rPr>
              <w:tab/>
            </w:r>
            <w:r>
              <w:rPr>
                <w:webHidden/>
              </w:rPr>
              <w:fldChar w:fldCharType="begin"/>
            </w:r>
            <w:r>
              <w:rPr>
                <w:webHidden/>
              </w:rPr>
              <w:instrText xml:space="preserve"> PAGEREF _Toc229159944 \h </w:instrText>
            </w:r>
            <w:r>
              <w:rPr>
                <w:webHidden/>
              </w:rPr>
            </w:r>
            <w:r>
              <w:rPr>
                <w:webHidden/>
              </w:rPr>
              <w:fldChar w:fldCharType="separate"/>
            </w:r>
            <w:r>
              <w:rPr>
                <w:webHidden/>
              </w:rPr>
              <w:t>21</w:t>
            </w:r>
            <w:r>
              <w:rPr>
                <w:webHidden/>
              </w:rPr>
              <w:fldChar w:fldCharType="end"/>
            </w:r>
          </w:hyperlink>
        </w:p>
        <w:p w14:paraId="14C2282E" w14:textId="02A573C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5" w:history="1">
            <w:r w:rsidRPr="00386B37">
              <w:rPr>
                <w:rStyle w:val="Hyperlink"/>
                <w:rFonts w:ascii="Bookman Old Style" w:hAnsi="Bookman Old Style"/>
              </w:rPr>
              <w:t>Jurisdictions that do not or insufficiently apply the FATF Recommendations</w:t>
            </w:r>
            <w:r>
              <w:rPr>
                <w:webHidden/>
              </w:rPr>
              <w:tab/>
            </w:r>
            <w:r>
              <w:rPr>
                <w:webHidden/>
              </w:rPr>
              <w:fldChar w:fldCharType="begin"/>
            </w:r>
            <w:r>
              <w:rPr>
                <w:webHidden/>
              </w:rPr>
              <w:instrText xml:space="preserve"> PAGEREF _Toc229159945 \h </w:instrText>
            </w:r>
            <w:r>
              <w:rPr>
                <w:webHidden/>
              </w:rPr>
            </w:r>
            <w:r>
              <w:rPr>
                <w:webHidden/>
              </w:rPr>
              <w:fldChar w:fldCharType="separate"/>
            </w:r>
            <w:r>
              <w:rPr>
                <w:webHidden/>
              </w:rPr>
              <w:t>22</w:t>
            </w:r>
            <w:r>
              <w:rPr>
                <w:webHidden/>
              </w:rPr>
              <w:fldChar w:fldCharType="end"/>
            </w:r>
          </w:hyperlink>
        </w:p>
        <w:p w14:paraId="778C2A99" w14:textId="4974E07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6" w:history="1">
            <w:r w:rsidRPr="00386B37">
              <w:rPr>
                <w:rStyle w:val="Hyperlink"/>
                <w:rFonts w:ascii="Bookman Old Style" w:hAnsi="Bookman Old Style"/>
              </w:rPr>
              <w:t>Reporting to Financial Intelligence Unit-India</w:t>
            </w:r>
            <w:r>
              <w:rPr>
                <w:webHidden/>
              </w:rPr>
              <w:tab/>
            </w:r>
            <w:r>
              <w:rPr>
                <w:webHidden/>
              </w:rPr>
              <w:fldChar w:fldCharType="begin"/>
            </w:r>
            <w:r>
              <w:rPr>
                <w:webHidden/>
              </w:rPr>
              <w:instrText xml:space="preserve"> PAGEREF _Toc229159946 \h </w:instrText>
            </w:r>
            <w:r>
              <w:rPr>
                <w:webHidden/>
              </w:rPr>
            </w:r>
            <w:r>
              <w:rPr>
                <w:webHidden/>
              </w:rPr>
              <w:fldChar w:fldCharType="separate"/>
            </w:r>
            <w:r>
              <w:rPr>
                <w:webHidden/>
              </w:rPr>
              <w:t>22</w:t>
            </w:r>
            <w:r>
              <w:rPr>
                <w:webHidden/>
              </w:rPr>
              <w:fldChar w:fldCharType="end"/>
            </w:r>
          </w:hyperlink>
        </w:p>
        <w:p w14:paraId="574B3122" w14:textId="00B612B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7" w:history="1">
            <w:r w:rsidRPr="00386B37">
              <w:rPr>
                <w:rStyle w:val="Hyperlink"/>
                <w:rFonts w:ascii="Bookman Old Style" w:hAnsi="Bookman Old Style"/>
              </w:rPr>
              <w:t>Designation of officers for ensuring compliance with provisions of PMLA Appointment of a Principal Officer</w:t>
            </w:r>
            <w:r>
              <w:rPr>
                <w:webHidden/>
              </w:rPr>
              <w:tab/>
            </w:r>
            <w:r>
              <w:rPr>
                <w:webHidden/>
              </w:rPr>
              <w:fldChar w:fldCharType="begin"/>
            </w:r>
            <w:r>
              <w:rPr>
                <w:webHidden/>
              </w:rPr>
              <w:instrText xml:space="preserve"> PAGEREF _Toc229159947 \h </w:instrText>
            </w:r>
            <w:r>
              <w:rPr>
                <w:webHidden/>
              </w:rPr>
            </w:r>
            <w:r>
              <w:rPr>
                <w:webHidden/>
              </w:rPr>
              <w:fldChar w:fldCharType="separate"/>
            </w:r>
            <w:r>
              <w:rPr>
                <w:webHidden/>
              </w:rPr>
              <w:t>24</w:t>
            </w:r>
            <w:r>
              <w:rPr>
                <w:webHidden/>
              </w:rPr>
              <w:fldChar w:fldCharType="end"/>
            </w:r>
          </w:hyperlink>
        </w:p>
        <w:p w14:paraId="7AA8C16F" w14:textId="3B7EDA7D"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8" w:history="1">
            <w:r w:rsidRPr="00386B37">
              <w:rPr>
                <w:rStyle w:val="Hyperlink"/>
                <w:rFonts w:ascii="Bookman Old Style" w:hAnsi="Bookman Old Style"/>
              </w:rPr>
              <w:t>Appointment of a Designated Director</w:t>
            </w:r>
            <w:r>
              <w:rPr>
                <w:webHidden/>
              </w:rPr>
              <w:tab/>
            </w:r>
            <w:r>
              <w:rPr>
                <w:webHidden/>
              </w:rPr>
              <w:fldChar w:fldCharType="begin"/>
            </w:r>
            <w:r>
              <w:rPr>
                <w:webHidden/>
              </w:rPr>
              <w:instrText xml:space="preserve"> PAGEREF _Toc229159948 \h </w:instrText>
            </w:r>
            <w:r>
              <w:rPr>
                <w:webHidden/>
              </w:rPr>
            </w:r>
            <w:r>
              <w:rPr>
                <w:webHidden/>
              </w:rPr>
              <w:fldChar w:fldCharType="separate"/>
            </w:r>
            <w:r>
              <w:rPr>
                <w:webHidden/>
              </w:rPr>
              <w:t>24</w:t>
            </w:r>
            <w:r>
              <w:rPr>
                <w:webHidden/>
              </w:rPr>
              <w:fldChar w:fldCharType="end"/>
            </w:r>
          </w:hyperlink>
        </w:p>
        <w:p w14:paraId="3711C898" w14:textId="2A1609F7"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49" w:history="1">
            <w:r w:rsidRPr="00386B37">
              <w:rPr>
                <w:rStyle w:val="Hyperlink"/>
                <w:rFonts w:ascii="Bookman Old Style" w:hAnsi="Bookman Old Style"/>
              </w:rPr>
              <w:t>Hiring and Training of Employees and Investor Education</w:t>
            </w:r>
            <w:r>
              <w:rPr>
                <w:webHidden/>
              </w:rPr>
              <w:tab/>
            </w:r>
            <w:r>
              <w:rPr>
                <w:webHidden/>
              </w:rPr>
              <w:fldChar w:fldCharType="begin"/>
            </w:r>
            <w:r>
              <w:rPr>
                <w:webHidden/>
              </w:rPr>
              <w:instrText xml:space="preserve"> PAGEREF _Toc229159949 \h </w:instrText>
            </w:r>
            <w:r>
              <w:rPr>
                <w:webHidden/>
              </w:rPr>
            </w:r>
            <w:r>
              <w:rPr>
                <w:webHidden/>
              </w:rPr>
              <w:fldChar w:fldCharType="separate"/>
            </w:r>
            <w:r>
              <w:rPr>
                <w:webHidden/>
              </w:rPr>
              <w:t>24</w:t>
            </w:r>
            <w:r>
              <w:rPr>
                <w:webHidden/>
              </w:rPr>
              <w:fldChar w:fldCharType="end"/>
            </w:r>
          </w:hyperlink>
        </w:p>
        <w:p w14:paraId="40494011" w14:textId="685F3F7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0" w:history="1">
            <w:r w:rsidRPr="00386B37">
              <w:rPr>
                <w:rStyle w:val="Hyperlink"/>
                <w:rFonts w:ascii="Bookman Old Style" w:hAnsi="Bookman Old Style"/>
              </w:rPr>
              <w:t>Review of the policy and Update</w:t>
            </w:r>
            <w:r>
              <w:rPr>
                <w:webHidden/>
              </w:rPr>
              <w:tab/>
            </w:r>
            <w:r>
              <w:rPr>
                <w:webHidden/>
              </w:rPr>
              <w:fldChar w:fldCharType="begin"/>
            </w:r>
            <w:r>
              <w:rPr>
                <w:webHidden/>
              </w:rPr>
              <w:instrText xml:space="preserve"> PAGEREF _Toc229159950 \h </w:instrText>
            </w:r>
            <w:r>
              <w:rPr>
                <w:webHidden/>
              </w:rPr>
            </w:r>
            <w:r>
              <w:rPr>
                <w:webHidden/>
              </w:rPr>
              <w:fldChar w:fldCharType="separate"/>
            </w:r>
            <w:r>
              <w:rPr>
                <w:webHidden/>
              </w:rPr>
              <w:t>25</w:t>
            </w:r>
            <w:r>
              <w:rPr>
                <w:webHidden/>
              </w:rPr>
              <w:fldChar w:fldCharType="end"/>
            </w:r>
          </w:hyperlink>
        </w:p>
        <w:p w14:paraId="552BA5A4" w14:textId="45F98B0D" w:rsidR="000E1622" w:rsidRPr="000E1622" w:rsidRDefault="000E1622" w:rsidP="000E1622">
          <w:pPr>
            <w:pStyle w:val="TOC2"/>
          </w:pPr>
          <w:hyperlink w:anchor="_Toc229159951" w:history="1">
            <w:r w:rsidRPr="000E1622">
              <w:rPr>
                <w:rStyle w:val="Hyperlink"/>
              </w:rPr>
              <w:t>Section II- Know Your Client</w:t>
            </w:r>
            <w:r w:rsidRPr="000E1622">
              <w:rPr>
                <w:webHidden/>
              </w:rPr>
              <w:tab/>
            </w:r>
            <w:r w:rsidRPr="000E1622">
              <w:rPr>
                <w:webHidden/>
              </w:rPr>
              <w:fldChar w:fldCharType="begin"/>
            </w:r>
            <w:r w:rsidRPr="000E1622">
              <w:rPr>
                <w:webHidden/>
              </w:rPr>
              <w:instrText xml:space="preserve"> PAGEREF _Toc229159951 \h </w:instrText>
            </w:r>
            <w:r w:rsidRPr="000E1622">
              <w:rPr>
                <w:webHidden/>
              </w:rPr>
            </w:r>
            <w:r w:rsidRPr="000E1622">
              <w:rPr>
                <w:webHidden/>
              </w:rPr>
              <w:fldChar w:fldCharType="separate"/>
            </w:r>
            <w:r w:rsidRPr="000E1622">
              <w:rPr>
                <w:webHidden/>
              </w:rPr>
              <w:t>26</w:t>
            </w:r>
            <w:r w:rsidRPr="000E1622">
              <w:rPr>
                <w:webHidden/>
              </w:rPr>
              <w:fldChar w:fldCharType="end"/>
            </w:r>
          </w:hyperlink>
        </w:p>
        <w:p w14:paraId="067E59C7" w14:textId="030448BD"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2" w:history="1">
            <w:r w:rsidRPr="00386B37">
              <w:rPr>
                <w:rStyle w:val="Hyperlink"/>
                <w:rFonts w:ascii="Bookman Old Style" w:hAnsi="Bookman Old Style"/>
              </w:rPr>
              <w:t>ACCOUNT OPENING &amp; OPERATIONAL PROCEDURES</w:t>
            </w:r>
            <w:r>
              <w:rPr>
                <w:webHidden/>
              </w:rPr>
              <w:tab/>
            </w:r>
            <w:r>
              <w:rPr>
                <w:webHidden/>
              </w:rPr>
              <w:fldChar w:fldCharType="begin"/>
            </w:r>
            <w:r>
              <w:rPr>
                <w:webHidden/>
              </w:rPr>
              <w:instrText xml:space="preserve"> PAGEREF _Toc229159952 \h </w:instrText>
            </w:r>
            <w:r>
              <w:rPr>
                <w:webHidden/>
              </w:rPr>
            </w:r>
            <w:r>
              <w:rPr>
                <w:webHidden/>
              </w:rPr>
              <w:fldChar w:fldCharType="separate"/>
            </w:r>
            <w:r>
              <w:rPr>
                <w:webHidden/>
              </w:rPr>
              <w:t>26</w:t>
            </w:r>
            <w:r>
              <w:rPr>
                <w:webHidden/>
              </w:rPr>
              <w:fldChar w:fldCharType="end"/>
            </w:r>
          </w:hyperlink>
        </w:p>
        <w:p w14:paraId="3846C890" w14:textId="4FFA1F89"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3" w:history="1">
            <w:r w:rsidRPr="00386B37">
              <w:rPr>
                <w:rStyle w:val="Hyperlink"/>
                <w:rFonts w:ascii="Bookman Old Style" w:hAnsi="Bookman Old Style"/>
              </w:rPr>
              <w:t>Account Opening Procedure / Onboarding of Clients</w:t>
            </w:r>
            <w:r>
              <w:rPr>
                <w:webHidden/>
              </w:rPr>
              <w:tab/>
            </w:r>
            <w:r>
              <w:rPr>
                <w:webHidden/>
              </w:rPr>
              <w:fldChar w:fldCharType="begin"/>
            </w:r>
            <w:r>
              <w:rPr>
                <w:webHidden/>
              </w:rPr>
              <w:instrText xml:space="preserve"> PAGEREF _Toc229159953 \h </w:instrText>
            </w:r>
            <w:r>
              <w:rPr>
                <w:webHidden/>
              </w:rPr>
            </w:r>
            <w:r>
              <w:rPr>
                <w:webHidden/>
              </w:rPr>
              <w:fldChar w:fldCharType="separate"/>
            </w:r>
            <w:r>
              <w:rPr>
                <w:webHidden/>
              </w:rPr>
              <w:t>26</w:t>
            </w:r>
            <w:r>
              <w:rPr>
                <w:webHidden/>
              </w:rPr>
              <w:fldChar w:fldCharType="end"/>
            </w:r>
          </w:hyperlink>
        </w:p>
        <w:p w14:paraId="0E8908AB" w14:textId="7F548D5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4" w:history="1">
            <w:r w:rsidRPr="00386B37">
              <w:rPr>
                <w:rStyle w:val="Hyperlink"/>
                <w:rFonts w:ascii="Bookman Old Style" w:hAnsi="Bookman Old Style"/>
              </w:rPr>
              <w:t>Fees and Charges</w:t>
            </w:r>
            <w:r>
              <w:rPr>
                <w:webHidden/>
              </w:rPr>
              <w:tab/>
            </w:r>
            <w:r>
              <w:rPr>
                <w:webHidden/>
              </w:rPr>
              <w:fldChar w:fldCharType="begin"/>
            </w:r>
            <w:r>
              <w:rPr>
                <w:webHidden/>
              </w:rPr>
              <w:instrText xml:space="preserve"> PAGEREF _Toc229159954 \h </w:instrText>
            </w:r>
            <w:r>
              <w:rPr>
                <w:webHidden/>
              </w:rPr>
            </w:r>
            <w:r>
              <w:rPr>
                <w:webHidden/>
              </w:rPr>
              <w:fldChar w:fldCharType="separate"/>
            </w:r>
            <w:r>
              <w:rPr>
                <w:webHidden/>
              </w:rPr>
              <w:t>26</w:t>
            </w:r>
            <w:r>
              <w:rPr>
                <w:webHidden/>
              </w:rPr>
              <w:fldChar w:fldCharType="end"/>
            </w:r>
          </w:hyperlink>
        </w:p>
        <w:p w14:paraId="3A1E3F1F" w14:textId="513D67C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5" w:history="1">
            <w:r w:rsidRPr="00386B37">
              <w:rPr>
                <w:rStyle w:val="Hyperlink"/>
                <w:rFonts w:ascii="Bookman Old Style" w:hAnsi="Bookman Old Style"/>
              </w:rPr>
              <w:t>Risk / Investment Profiling</w:t>
            </w:r>
            <w:r>
              <w:rPr>
                <w:webHidden/>
              </w:rPr>
              <w:tab/>
            </w:r>
            <w:r>
              <w:rPr>
                <w:webHidden/>
              </w:rPr>
              <w:fldChar w:fldCharType="begin"/>
            </w:r>
            <w:r>
              <w:rPr>
                <w:webHidden/>
              </w:rPr>
              <w:instrText xml:space="preserve"> PAGEREF _Toc229159955 \h </w:instrText>
            </w:r>
            <w:r>
              <w:rPr>
                <w:webHidden/>
              </w:rPr>
            </w:r>
            <w:r>
              <w:rPr>
                <w:webHidden/>
              </w:rPr>
              <w:fldChar w:fldCharType="separate"/>
            </w:r>
            <w:r>
              <w:rPr>
                <w:webHidden/>
              </w:rPr>
              <w:t>27</w:t>
            </w:r>
            <w:r>
              <w:rPr>
                <w:webHidden/>
              </w:rPr>
              <w:fldChar w:fldCharType="end"/>
            </w:r>
          </w:hyperlink>
        </w:p>
        <w:p w14:paraId="3568482D" w14:textId="3F4B365F"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6" w:history="1">
            <w:r w:rsidRPr="00386B37">
              <w:rPr>
                <w:rStyle w:val="Hyperlink"/>
                <w:rFonts w:ascii="Bookman Old Style" w:hAnsi="Bookman Old Style"/>
              </w:rPr>
              <w:t>Investment Approach</w:t>
            </w:r>
            <w:r>
              <w:rPr>
                <w:webHidden/>
              </w:rPr>
              <w:tab/>
            </w:r>
            <w:r>
              <w:rPr>
                <w:webHidden/>
              </w:rPr>
              <w:fldChar w:fldCharType="begin"/>
            </w:r>
            <w:r>
              <w:rPr>
                <w:webHidden/>
              </w:rPr>
              <w:instrText xml:space="preserve"> PAGEREF _Toc229159956 \h </w:instrText>
            </w:r>
            <w:r>
              <w:rPr>
                <w:webHidden/>
              </w:rPr>
            </w:r>
            <w:r>
              <w:rPr>
                <w:webHidden/>
              </w:rPr>
              <w:fldChar w:fldCharType="separate"/>
            </w:r>
            <w:r>
              <w:rPr>
                <w:webHidden/>
              </w:rPr>
              <w:t>27</w:t>
            </w:r>
            <w:r>
              <w:rPr>
                <w:webHidden/>
              </w:rPr>
              <w:fldChar w:fldCharType="end"/>
            </w:r>
          </w:hyperlink>
        </w:p>
        <w:p w14:paraId="7CA5BDDC" w14:textId="79942FB9"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7" w:history="1">
            <w:r w:rsidRPr="00386B37">
              <w:rPr>
                <w:rStyle w:val="Hyperlink"/>
                <w:rFonts w:ascii="Bookman Old Style" w:hAnsi="Bookman Old Style"/>
              </w:rPr>
              <w:t>Performance of the Portfolio Manager</w:t>
            </w:r>
            <w:r>
              <w:rPr>
                <w:webHidden/>
              </w:rPr>
              <w:tab/>
            </w:r>
            <w:r>
              <w:rPr>
                <w:webHidden/>
              </w:rPr>
              <w:fldChar w:fldCharType="begin"/>
            </w:r>
            <w:r>
              <w:rPr>
                <w:webHidden/>
              </w:rPr>
              <w:instrText xml:space="preserve"> PAGEREF _Toc229159957 \h </w:instrText>
            </w:r>
            <w:r>
              <w:rPr>
                <w:webHidden/>
              </w:rPr>
            </w:r>
            <w:r>
              <w:rPr>
                <w:webHidden/>
              </w:rPr>
              <w:fldChar w:fldCharType="separate"/>
            </w:r>
            <w:r>
              <w:rPr>
                <w:webHidden/>
              </w:rPr>
              <w:t>27</w:t>
            </w:r>
            <w:r>
              <w:rPr>
                <w:webHidden/>
              </w:rPr>
              <w:fldChar w:fldCharType="end"/>
            </w:r>
          </w:hyperlink>
        </w:p>
        <w:p w14:paraId="7D71A71D" w14:textId="6DCEF37A"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8" w:history="1">
            <w:r w:rsidRPr="00386B37">
              <w:rPr>
                <w:rStyle w:val="Hyperlink"/>
                <w:rFonts w:ascii="Bookman Old Style" w:hAnsi="Bookman Old Style"/>
              </w:rPr>
              <w:t>Investment of Clients' Funds and Management of Clients' Securities</w:t>
            </w:r>
            <w:r>
              <w:rPr>
                <w:webHidden/>
              </w:rPr>
              <w:tab/>
            </w:r>
            <w:r>
              <w:rPr>
                <w:webHidden/>
              </w:rPr>
              <w:fldChar w:fldCharType="begin"/>
            </w:r>
            <w:r>
              <w:rPr>
                <w:webHidden/>
              </w:rPr>
              <w:instrText xml:space="preserve"> PAGEREF _Toc229159958 \h </w:instrText>
            </w:r>
            <w:r>
              <w:rPr>
                <w:webHidden/>
              </w:rPr>
            </w:r>
            <w:r>
              <w:rPr>
                <w:webHidden/>
              </w:rPr>
              <w:fldChar w:fldCharType="separate"/>
            </w:r>
            <w:r>
              <w:rPr>
                <w:webHidden/>
              </w:rPr>
              <w:t>28</w:t>
            </w:r>
            <w:r>
              <w:rPr>
                <w:webHidden/>
              </w:rPr>
              <w:fldChar w:fldCharType="end"/>
            </w:r>
          </w:hyperlink>
        </w:p>
        <w:p w14:paraId="0C251007" w14:textId="671D847E"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59" w:history="1">
            <w:r w:rsidRPr="00386B37">
              <w:rPr>
                <w:rStyle w:val="Hyperlink"/>
                <w:rFonts w:ascii="Bookman Old Style" w:hAnsi="Bookman Old Style"/>
              </w:rPr>
              <w:t>Settlement of Funds / Securities</w:t>
            </w:r>
            <w:r>
              <w:rPr>
                <w:webHidden/>
              </w:rPr>
              <w:tab/>
            </w:r>
            <w:r>
              <w:rPr>
                <w:webHidden/>
              </w:rPr>
              <w:fldChar w:fldCharType="begin"/>
            </w:r>
            <w:r>
              <w:rPr>
                <w:webHidden/>
              </w:rPr>
              <w:instrText xml:space="preserve"> PAGEREF _Toc229159959 \h </w:instrText>
            </w:r>
            <w:r>
              <w:rPr>
                <w:webHidden/>
              </w:rPr>
            </w:r>
            <w:r>
              <w:rPr>
                <w:webHidden/>
              </w:rPr>
              <w:fldChar w:fldCharType="separate"/>
            </w:r>
            <w:r>
              <w:rPr>
                <w:webHidden/>
              </w:rPr>
              <w:t>28</w:t>
            </w:r>
            <w:r>
              <w:rPr>
                <w:webHidden/>
              </w:rPr>
              <w:fldChar w:fldCharType="end"/>
            </w:r>
          </w:hyperlink>
        </w:p>
        <w:p w14:paraId="04E4A634" w14:textId="6AD3EBC3"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0" w:history="1">
            <w:r w:rsidRPr="00386B37">
              <w:rPr>
                <w:rStyle w:val="Hyperlink"/>
                <w:rFonts w:ascii="Bookman Old Style" w:hAnsi="Bookman Old Style"/>
              </w:rPr>
              <w:t>Issuance and Collection of Cheques to/from Clients</w:t>
            </w:r>
            <w:r>
              <w:rPr>
                <w:webHidden/>
              </w:rPr>
              <w:tab/>
            </w:r>
            <w:r>
              <w:rPr>
                <w:webHidden/>
              </w:rPr>
              <w:fldChar w:fldCharType="begin"/>
            </w:r>
            <w:r>
              <w:rPr>
                <w:webHidden/>
              </w:rPr>
              <w:instrText xml:space="preserve"> PAGEREF _Toc229159960 \h </w:instrText>
            </w:r>
            <w:r>
              <w:rPr>
                <w:webHidden/>
              </w:rPr>
            </w:r>
            <w:r>
              <w:rPr>
                <w:webHidden/>
              </w:rPr>
              <w:fldChar w:fldCharType="separate"/>
            </w:r>
            <w:r>
              <w:rPr>
                <w:webHidden/>
              </w:rPr>
              <w:t>28</w:t>
            </w:r>
            <w:r>
              <w:rPr>
                <w:webHidden/>
              </w:rPr>
              <w:fldChar w:fldCharType="end"/>
            </w:r>
          </w:hyperlink>
        </w:p>
        <w:p w14:paraId="52C8BB35" w14:textId="649E93B2"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1" w:history="1">
            <w:r w:rsidRPr="00386B37">
              <w:rPr>
                <w:rStyle w:val="Hyperlink"/>
                <w:rFonts w:ascii="Bookman Old Style" w:hAnsi="Bookman Old Style"/>
              </w:rPr>
              <w:t>Instances of Cash / Demand Draft Acceptance</w:t>
            </w:r>
            <w:r>
              <w:rPr>
                <w:webHidden/>
              </w:rPr>
              <w:tab/>
            </w:r>
            <w:r>
              <w:rPr>
                <w:webHidden/>
              </w:rPr>
              <w:fldChar w:fldCharType="begin"/>
            </w:r>
            <w:r>
              <w:rPr>
                <w:webHidden/>
              </w:rPr>
              <w:instrText xml:space="preserve"> PAGEREF _Toc229159961 \h </w:instrText>
            </w:r>
            <w:r>
              <w:rPr>
                <w:webHidden/>
              </w:rPr>
            </w:r>
            <w:r>
              <w:rPr>
                <w:webHidden/>
              </w:rPr>
              <w:fldChar w:fldCharType="separate"/>
            </w:r>
            <w:r>
              <w:rPr>
                <w:webHidden/>
              </w:rPr>
              <w:t>29</w:t>
            </w:r>
            <w:r>
              <w:rPr>
                <w:webHidden/>
              </w:rPr>
              <w:fldChar w:fldCharType="end"/>
            </w:r>
          </w:hyperlink>
        </w:p>
        <w:p w14:paraId="79C2C16F" w14:textId="16991D57"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2" w:history="1">
            <w:r w:rsidRPr="00386B37">
              <w:rPr>
                <w:rStyle w:val="Hyperlink"/>
                <w:rFonts w:ascii="Bookman Old Style" w:hAnsi="Bookman Old Style"/>
              </w:rPr>
              <w:t>Controls Preventing Acceptance / Issuance of Funds or Securities from/to Persons Other Than Clients</w:t>
            </w:r>
            <w:r>
              <w:rPr>
                <w:webHidden/>
              </w:rPr>
              <w:tab/>
            </w:r>
            <w:r>
              <w:rPr>
                <w:webHidden/>
              </w:rPr>
              <w:fldChar w:fldCharType="begin"/>
            </w:r>
            <w:r>
              <w:rPr>
                <w:webHidden/>
              </w:rPr>
              <w:instrText xml:space="preserve"> PAGEREF _Toc229159962 \h </w:instrText>
            </w:r>
            <w:r>
              <w:rPr>
                <w:webHidden/>
              </w:rPr>
            </w:r>
            <w:r>
              <w:rPr>
                <w:webHidden/>
              </w:rPr>
              <w:fldChar w:fldCharType="separate"/>
            </w:r>
            <w:r>
              <w:rPr>
                <w:webHidden/>
              </w:rPr>
              <w:t>29</w:t>
            </w:r>
            <w:r>
              <w:rPr>
                <w:webHidden/>
              </w:rPr>
              <w:fldChar w:fldCharType="end"/>
            </w:r>
          </w:hyperlink>
        </w:p>
        <w:p w14:paraId="3F83AFB8" w14:textId="3206FA91"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3" w:history="1">
            <w:r w:rsidRPr="00386B37">
              <w:rPr>
                <w:rStyle w:val="Hyperlink"/>
                <w:rFonts w:ascii="Bookman Old Style" w:hAnsi="Bookman Old Style"/>
              </w:rPr>
              <w:t>Third-Party Payments / Receipts of Funds / Securities</w:t>
            </w:r>
            <w:r>
              <w:rPr>
                <w:webHidden/>
              </w:rPr>
              <w:tab/>
            </w:r>
            <w:r>
              <w:rPr>
                <w:webHidden/>
              </w:rPr>
              <w:fldChar w:fldCharType="begin"/>
            </w:r>
            <w:r>
              <w:rPr>
                <w:webHidden/>
              </w:rPr>
              <w:instrText xml:space="preserve"> PAGEREF _Toc229159963 \h </w:instrText>
            </w:r>
            <w:r>
              <w:rPr>
                <w:webHidden/>
              </w:rPr>
            </w:r>
            <w:r>
              <w:rPr>
                <w:webHidden/>
              </w:rPr>
              <w:fldChar w:fldCharType="separate"/>
            </w:r>
            <w:r>
              <w:rPr>
                <w:webHidden/>
              </w:rPr>
              <w:t>29</w:t>
            </w:r>
            <w:r>
              <w:rPr>
                <w:webHidden/>
              </w:rPr>
              <w:fldChar w:fldCharType="end"/>
            </w:r>
          </w:hyperlink>
        </w:p>
        <w:p w14:paraId="39F8EB01" w14:textId="0D1F02D8"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4" w:history="1">
            <w:r w:rsidRPr="00386B37">
              <w:rPr>
                <w:rStyle w:val="Hyperlink"/>
                <w:rFonts w:ascii="Bookman Old Style" w:hAnsi="Bookman Old Style"/>
              </w:rPr>
              <w:t>Maintenance of Books of Accounts and Records (Regulations 27 and 29)</w:t>
            </w:r>
            <w:r>
              <w:rPr>
                <w:webHidden/>
              </w:rPr>
              <w:tab/>
            </w:r>
            <w:r>
              <w:rPr>
                <w:webHidden/>
              </w:rPr>
              <w:fldChar w:fldCharType="begin"/>
            </w:r>
            <w:r>
              <w:rPr>
                <w:webHidden/>
              </w:rPr>
              <w:instrText xml:space="preserve"> PAGEREF _Toc229159964 \h </w:instrText>
            </w:r>
            <w:r>
              <w:rPr>
                <w:webHidden/>
              </w:rPr>
            </w:r>
            <w:r>
              <w:rPr>
                <w:webHidden/>
              </w:rPr>
              <w:fldChar w:fldCharType="separate"/>
            </w:r>
            <w:r>
              <w:rPr>
                <w:webHidden/>
              </w:rPr>
              <w:t>30</w:t>
            </w:r>
            <w:r>
              <w:rPr>
                <w:webHidden/>
              </w:rPr>
              <w:fldChar w:fldCharType="end"/>
            </w:r>
          </w:hyperlink>
        </w:p>
        <w:p w14:paraId="1D5C51F1" w14:textId="5AFCF3AE"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5" w:history="1">
            <w:r w:rsidRPr="00386B37">
              <w:rPr>
                <w:rStyle w:val="Hyperlink"/>
                <w:rFonts w:ascii="Bookman Old Style" w:hAnsi="Bookman Old Style"/>
              </w:rPr>
              <w:t>Advisory Services Provided</w:t>
            </w:r>
            <w:r>
              <w:rPr>
                <w:webHidden/>
              </w:rPr>
              <w:tab/>
            </w:r>
            <w:r>
              <w:rPr>
                <w:webHidden/>
              </w:rPr>
              <w:fldChar w:fldCharType="begin"/>
            </w:r>
            <w:r>
              <w:rPr>
                <w:webHidden/>
              </w:rPr>
              <w:instrText xml:space="preserve"> PAGEREF _Toc229159965 \h </w:instrText>
            </w:r>
            <w:r>
              <w:rPr>
                <w:webHidden/>
              </w:rPr>
            </w:r>
            <w:r>
              <w:rPr>
                <w:webHidden/>
              </w:rPr>
              <w:fldChar w:fldCharType="separate"/>
            </w:r>
            <w:r>
              <w:rPr>
                <w:webHidden/>
              </w:rPr>
              <w:t>30</w:t>
            </w:r>
            <w:r>
              <w:rPr>
                <w:webHidden/>
              </w:rPr>
              <w:fldChar w:fldCharType="end"/>
            </w:r>
          </w:hyperlink>
        </w:p>
        <w:p w14:paraId="79C05673" w14:textId="3DC1589E"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6" w:history="1">
            <w:r w:rsidRPr="00386B37">
              <w:rPr>
                <w:rStyle w:val="Hyperlink"/>
                <w:rFonts w:ascii="Bookman Old Style" w:hAnsi="Bookman Old Style"/>
              </w:rPr>
              <w:t>Conflict of Interest</w:t>
            </w:r>
            <w:r>
              <w:rPr>
                <w:webHidden/>
              </w:rPr>
              <w:tab/>
            </w:r>
            <w:r>
              <w:rPr>
                <w:webHidden/>
              </w:rPr>
              <w:fldChar w:fldCharType="begin"/>
            </w:r>
            <w:r>
              <w:rPr>
                <w:webHidden/>
              </w:rPr>
              <w:instrText xml:space="preserve"> PAGEREF _Toc229159966 \h </w:instrText>
            </w:r>
            <w:r>
              <w:rPr>
                <w:webHidden/>
              </w:rPr>
            </w:r>
            <w:r>
              <w:rPr>
                <w:webHidden/>
              </w:rPr>
              <w:fldChar w:fldCharType="separate"/>
            </w:r>
            <w:r>
              <w:rPr>
                <w:webHidden/>
              </w:rPr>
              <w:t>30</w:t>
            </w:r>
            <w:r>
              <w:rPr>
                <w:webHidden/>
              </w:rPr>
              <w:fldChar w:fldCharType="end"/>
            </w:r>
          </w:hyperlink>
        </w:p>
        <w:p w14:paraId="62C17A0E" w14:textId="457EA097"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7" w:history="1">
            <w:r w:rsidRPr="00386B37">
              <w:rPr>
                <w:rStyle w:val="Hyperlink"/>
                <w:rFonts w:ascii="Bookman Old Style" w:hAnsi="Bookman Old Style"/>
              </w:rPr>
              <w:t>Know Your Client (KYC) Procedure</w:t>
            </w:r>
            <w:r>
              <w:rPr>
                <w:webHidden/>
              </w:rPr>
              <w:tab/>
            </w:r>
            <w:r>
              <w:rPr>
                <w:webHidden/>
              </w:rPr>
              <w:fldChar w:fldCharType="begin"/>
            </w:r>
            <w:r>
              <w:rPr>
                <w:webHidden/>
              </w:rPr>
              <w:instrText xml:space="preserve"> PAGEREF _Toc229159967 \h </w:instrText>
            </w:r>
            <w:r>
              <w:rPr>
                <w:webHidden/>
              </w:rPr>
            </w:r>
            <w:r>
              <w:rPr>
                <w:webHidden/>
              </w:rPr>
              <w:fldChar w:fldCharType="separate"/>
            </w:r>
            <w:r>
              <w:rPr>
                <w:webHidden/>
              </w:rPr>
              <w:t>31</w:t>
            </w:r>
            <w:r>
              <w:rPr>
                <w:webHidden/>
              </w:rPr>
              <w:fldChar w:fldCharType="end"/>
            </w:r>
          </w:hyperlink>
        </w:p>
        <w:p w14:paraId="337443BA" w14:textId="2A3093A1"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8" w:history="1">
            <w:r w:rsidRPr="00386B37">
              <w:rPr>
                <w:rStyle w:val="Hyperlink"/>
                <w:rFonts w:ascii="Bookman Old Style" w:hAnsi="Bookman Old Style"/>
              </w:rPr>
              <w:t>Segregation of Portfolio Management Services from Other Activities</w:t>
            </w:r>
            <w:r>
              <w:rPr>
                <w:webHidden/>
              </w:rPr>
              <w:tab/>
            </w:r>
            <w:r>
              <w:rPr>
                <w:webHidden/>
              </w:rPr>
              <w:fldChar w:fldCharType="begin"/>
            </w:r>
            <w:r>
              <w:rPr>
                <w:webHidden/>
              </w:rPr>
              <w:instrText xml:space="preserve"> PAGEREF _Toc229159968 \h </w:instrText>
            </w:r>
            <w:r>
              <w:rPr>
                <w:webHidden/>
              </w:rPr>
            </w:r>
            <w:r>
              <w:rPr>
                <w:webHidden/>
              </w:rPr>
              <w:fldChar w:fldCharType="separate"/>
            </w:r>
            <w:r>
              <w:rPr>
                <w:webHidden/>
              </w:rPr>
              <w:t>31</w:t>
            </w:r>
            <w:r>
              <w:rPr>
                <w:webHidden/>
              </w:rPr>
              <w:fldChar w:fldCharType="end"/>
            </w:r>
          </w:hyperlink>
        </w:p>
        <w:p w14:paraId="0E570BD8" w14:textId="195DDE18"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69" w:history="1">
            <w:r w:rsidRPr="00386B37">
              <w:rPr>
                <w:rStyle w:val="Hyperlink"/>
                <w:rFonts w:ascii="Bookman Old Style" w:hAnsi="Bookman Old Style"/>
              </w:rPr>
              <w:t>Dealings of Associates as Clients</w:t>
            </w:r>
            <w:r>
              <w:rPr>
                <w:webHidden/>
              </w:rPr>
              <w:tab/>
            </w:r>
            <w:r>
              <w:rPr>
                <w:webHidden/>
              </w:rPr>
              <w:fldChar w:fldCharType="begin"/>
            </w:r>
            <w:r>
              <w:rPr>
                <w:webHidden/>
              </w:rPr>
              <w:instrText xml:space="preserve"> PAGEREF _Toc229159969 \h </w:instrText>
            </w:r>
            <w:r>
              <w:rPr>
                <w:webHidden/>
              </w:rPr>
            </w:r>
            <w:r>
              <w:rPr>
                <w:webHidden/>
              </w:rPr>
              <w:fldChar w:fldCharType="separate"/>
            </w:r>
            <w:r>
              <w:rPr>
                <w:webHidden/>
              </w:rPr>
              <w:t>32</w:t>
            </w:r>
            <w:r>
              <w:rPr>
                <w:webHidden/>
              </w:rPr>
              <w:fldChar w:fldCharType="end"/>
            </w:r>
          </w:hyperlink>
        </w:p>
        <w:p w14:paraId="3C6E05B5" w14:textId="3656E906" w:rsidR="000E1622" w:rsidRDefault="000E1622">
          <w:pPr>
            <w:pStyle w:val="TOC1"/>
            <w:rPr>
              <w:rFonts w:asciiTheme="minorHAnsi" w:hAnsiTheme="minorHAnsi" w:cstheme="minorBidi"/>
              <w:caps w:val="0"/>
              <w:kern w:val="2"/>
              <w:sz w:val="24"/>
              <w:szCs w:val="24"/>
              <w:lang w:val="en-IN" w:eastAsia="en-IN"/>
              <w14:ligatures w14:val="standardContextual"/>
            </w:rPr>
          </w:pPr>
          <w:hyperlink w:anchor="_Toc229159970" w:history="1">
            <w:r w:rsidRPr="00386B37">
              <w:rPr>
                <w:rStyle w:val="Hyperlink"/>
                <w:rFonts w:ascii="Bookman Old Style" w:hAnsi="Bookman Old Style"/>
              </w:rPr>
              <w:t>Approval by the Board / Equivalent Body</w:t>
            </w:r>
            <w:r>
              <w:rPr>
                <w:webHidden/>
              </w:rPr>
              <w:tab/>
            </w:r>
            <w:r>
              <w:rPr>
                <w:webHidden/>
              </w:rPr>
              <w:fldChar w:fldCharType="begin"/>
            </w:r>
            <w:r>
              <w:rPr>
                <w:webHidden/>
              </w:rPr>
              <w:instrText xml:space="preserve"> PAGEREF _Toc229159970 \h </w:instrText>
            </w:r>
            <w:r>
              <w:rPr>
                <w:webHidden/>
              </w:rPr>
            </w:r>
            <w:r>
              <w:rPr>
                <w:webHidden/>
              </w:rPr>
              <w:fldChar w:fldCharType="separate"/>
            </w:r>
            <w:r>
              <w:rPr>
                <w:webHidden/>
              </w:rPr>
              <w:t>32</w:t>
            </w:r>
            <w:r>
              <w:rPr>
                <w:webHidden/>
              </w:rPr>
              <w:fldChar w:fldCharType="end"/>
            </w:r>
          </w:hyperlink>
        </w:p>
        <w:p w14:paraId="22DAF5B7" w14:textId="63DDB8FC" w:rsidR="004A41AA" w:rsidRPr="00810505" w:rsidRDefault="003E13A7" w:rsidP="0007649B">
          <w:pPr>
            <w:jc w:val="both"/>
            <w:rPr>
              <w:rFonts w:ascii="Bookman Old Style" w:hAnsi="Bookman Old Style" w:cs="Arial"/>
              <w:noProof/>
            </w:rPr>
          </w:pPr>
          <w:r w:rsidRPr="00810505">
            <w:rPr>
              <w:rFonts w:ascii="Bookman Old Style" w:hAnsi="Bookman Old Style" w:cs="Arial"/>
              <w:noProof/>
            </w:rPr>
            <w:fldChar w:fldCharType="end"/>
          </w:r>
        </w:p>
      </w:sdtContent>
    </w:sdt>
    <w:bookmarkStart w:id="0" w:name="_Toc175735309" w:displacedByCustomXml="prev"/>
    <w:p w14:paraId="3522647C" w14:textId="77777777" w:rsidR="00634D45" w:rsidRDefault="00634D45">
      <w:pPr>
        <w:rPr>
          <w:rFonts w:ascii="Bookman Old Style" w:hAnsi="Bookman Old Style" w:cs="Arial"/>
        </w:rPr>
      </w:pPr>
    </w:p>
    <w:p w14:paraId="566BB240" w14:textId="179B1FDF" w:rsidR="00634D45" w:rsidRDefault="00634D45">
      <w:pPr>
        <w:rPr>
          <w:rFonts w:ascii="Bookman Old Style" w:hAnsi="Bookman Old Style" w:cs="Arial"/>
        </w:rPr>
      </w:pPr>
      <w:r>
        <w:rPr>
          <w:rFonts w:ascii="Bookman Old Style" w:hAnsi="Bookman Old Style" w:cs="Arial"/>
        </w:rPr>
        <w:br w:type="page"/>
      </w:r>
    </w:p>
    <w:p w14:paraId="019CCC37" w14:textId="709F13AE" w:rsidR="00716DB0" w:rsidRPr="008153E3" w:rsidRDefault="00716DB0" w:rsidP="00F23C90">
      <w:pPr>
        <w:pStyle w:val="Heading2"/>
        <w:jc w:val="center"/>
        <w:rPr>
          <w:color w:val="156082" w:themeColor="accent1"/>
        </w:rPr>
      </w:pPr>
      <w:bookmarkStart w:id="1" w:name="_Toc229159927"/>
      <w:r w:rsidRPr="008153E3">
        <w:lastRenderedPageBreak/>
        <w:t>Section I</w:t>
      </w:r>
      <w:r w:rsidR="009C0157" w:rsidRPr="008153E3">
        <w:t>: Anti</w:t>
      </w:r>
      <w:r w:rsidR="008153E3" w:rsidRPr="008153E3">
        <w:t>-</w:t>
      </w:r>
      <w:r w:rsidR="009C0157" w:rsidRPr="008153E3">
        <w:t>Money Laundering Policy</w:t>
      </w:r>
      <w:bookmarkEnd w:id="1"/>
    </w:p>
    <w:p w14:paraId="617590CF" w14:textId="369936C7" w:rsidR="0039244B" w:rsidRPr="00810505" w:rsidRDefault="0039244B" w:rsidP="00FC23D3">
      <w:pPr>
        <w:pStyle w:val="Heading1"/>
        <w:jc w:val="both"/>
        <w:rPr>
          <w:rFonts w:ascii="Bookman Old Style" w:hAnsi="Bookman Old Style" w:cs="Arial"/>
          <w:sz w:val="20"/>
          <w:szCs w:val="20"/>
        </w:rPr>
      </w:pPr>
      <w:bookmarkStart w:id="2" w:name="_Toc229159928"/>
      <w:r w:rsidRPr="00810505">
        <w:rPr>
          <w:rFonts w:ascii="Bookman Old Style" w:hAnsi="Bookman Old Style" w:cs="Arial"/>
          <w:sz w:val="20"/>
          <w:szCs w:val="20"/>
        </w:rPr>
        <w:t>Introduction/ Background</w:t>
      </w:r>
      <w:bookmarkEnd w:id="0"/>
      <w:bookmarkEnd w:id="2"/>
    </w:p>
    <w:p w14:paraId="6E8CF1CD" w14:textId="242C6C6D" w:rsidR="00553275" w:rsidRPr="00553275" w:rsidRDefault="00213138" w:rsidP="00961797">
      <w:pPr>
        <w:jc w:val="both"/>
        <w:rPr>
          <w:rFonts w:ascii="Bookman Old Style" w:hAnsi="Bookman Old Style"/>
        </w:rPr>
      </w:pPr>
      <w:proofErr w:type="spellStart"/>
      <w:r>
        <w:rPr>
          <w:rFonts w:ascii="Bookman Old Style" w:hAnsi="Bookman Old Style"/>
        </w:rPr>
        <w:t>companyintroduction</w:t>
      </w:r>
      <w:proofErr w:type="spellEnd"/>
    </w:p>
    <w:p w14:paraId="333B8779" w14:textId="7FE4E3A9" w:rsidR="005A44CB" w:rsidRPr="00810505" w:rsidRDefault="00E43E1A" w:rsidP="00FC23D3">
      <w:pPr>
        <w:pStyle w:val="Heading1"/>
        <w:jc w:val="both"/>
        <w:rPr>
          <w:rFonts w:ascii="Bookman Old Style" w:eastAsia="Arial" w:hAnsi="Bookman Old Style" w:cs="Arial"/>
          <w:sz w:val="20"/>
          <w:szCs w:val="20"/>
        </w:rPr>
      </w:pPr>
      <w:bookmarkStart w:id="3" w:name="_Toc229159929"/>
      <w:r w:rsidRPr="00810505">
        <w:rPr>
          <w:rFonts w:ascii="Bookman Old Style" w:eastAsia="Arial" w:hAnsi="Bookman Old Style" w:cs="Arial"/>
          <w:sz w:val="20"/>
          <w:szCs w:val="20"/>
        </w:rPr>
        <w:t>scope</w:t>
      </w:r>
      <w:bookmarkEnd w:id="3"/>
      <w:r w:rsidRPr="00810505">
        <w:rPr>
          <w:rFonts w:ascii="Bookman Old Style" w:eastAsia="Arial" w:hAnsi="Bookman Old Style" w:cs="Arial"/>
          <w:sz w:val="20"/>
          <w:szCs w:val="20"/>
        </w:rPr>
        <w:t xml:space="preserve"> </w:t>
      </w:r>
      <w:r w:rsidR="00B53BBA" w:rsidRPr="00810505">
        <w:rPr>
          <w:rFonts w:ascii="Bookman Old Style" w:eastAsia="Arial" w:hAnsi="Bookman Old Style" w:cs="Arial"/>
          <w:sz w:val="20"/>
          <w:szCs w:val="20"/>
        </w:rPr>
        <w:t xml:space="preserve"> </w:t>
      </w:r>
    </w:p>
    <w:p w14:paraId="65B1951B" w14:textId="7EEB198A" w:rsidR="00FB7651" w:rsidRPr="00810505" w:rsidRDefault="00FB7651" w:rsidP="00FC23D3">
      <w:pPr>
        <w:tabs>
          <w:tab w:val="left" w:pos="2370"/>
        </w:tabs>
        <w:jc w:val="both"/>
        <w:rPr>
          <w:rFonts w:ascii="Bookman Old Style" w:hAnsi="Bookman Old Style" w:cs="Arial"/>
        </w:rPr>
      </w:pPr>
      <w:r w:rsidRPr="00810505">
        <w:rPr>
          <w:rFonts w:ascii="Bookman Old Style" w:hAnsi="Bookman Old Style" w:cs="Arial"/>
        </w:rPr>
        <w:t xml:space="preserve">This Anti-Money Laundering (AML) Policy (the "Policy") has been established by </w:t>
      </w:r>
      <w:r w:rsidR="002E7AC9" w:rsidRPr="00810505">
        <w:rPr>
          <w:rFonts w:ascii="Bookman Old Style" w:hAnsi="Bookman Old Style" w:cs="Arial"/>
        </w:rPr>
        <w:t>Portfolio Manager</w:t>
      </w:r>
      <w:r w:rsidRPr="00810505">
        <w:rPr>
          <w:rFonts w:ascii="Bookman Old Style" w:hAnsi="Bookman Old Style" w:cs="Arial"/>
        </w:rPr>
        <w:t xml:space="preserve"> in compliance with the Prevention of Money Laundering Act, 2002 (PMLA). The Policy also considers the provisions of the PMLA Act, as well as relevant rules set forth by regulatory bodies such as SEBI and the Financial Intelligence Unit (FIU). </w:t>
      </w:r>
      <w:r w:rsidR="00920275" w:rsidRPr="00810505">
        <w:rPr>
          <w:rFonts w:ascii="Bookman Old Style" w:hAnsi="Bookman Old Style" w:cs="Arial"/>
        </w:rPr>
        <w:t>This Policy has been prepared in consideration to the Prevention of Money Laundering Act, 200</w:t>
      </w:r>
      <w:r w:rsidR="00325B73" w:rsidRPr="00810505">
        <w:rPr>
          <w:rFonts w:ascii="Bookman Old Style" w:hAnsi="Bookman Old Style" w:cs="Arial"/>
        </w:rPr>
        <w:t>2</w:t>
      </w:r>
      <w:r w:rsidR="00920275" w:rsidRPr="00810505">
        <w:rPr>
          <w:rFonts w:ascii="Bookman Old Style" w:hAnsi="Bookman Old Style" w:cs="Arial"/>
        </w:rPr>
        <w:t xml:space="preserve"> followed by </w:t>
      </w:r>
      <w:r w:rsidR="00614AA4" w:rsidRPr="00810505">
        <w:rPr>
          <w:rFonts w:ascii="Bookman Old Style" w:hAnsi="Bookman Old Style" w:cs="Arial"/>
        </w:rPr>
        <w:t xml:space="preserve">SEBI </w:t>
      </w:r>
      <w:r w:rsidR="00920275" w:rsidRPr="00810505">
        <w:rPr>
          <w:rFonts w:ascii="Bookman Old Style" w:hAnsi="Bookman Old Style" w:cs="Arial"/>
        </w:rPr>
        <w:t>Master Circular No. SEBI/HO/</w:t>
      </w:r>
      <w:r w:rsidR="00614AA4" w:rsidRPr="00810505">
        <w:rPr>
          <w:rFonts w:ascii="Bookman Old Style" w:hAnsi="Bookman Old Style" w:cs="Arial"/>
        </w:rPr>
        <w:t xml:space="preserve"> </w:t>
      </w:r>
      <w:r w:rsidR="00920275" w:rsidRPr="00810505">
        <w:rPr>
          <w:rFonts w:ascii="Bookman Old Style" w:hAnsi="Bookman Old Style" w:cs="Arial"/>
        </w:rPr>
        <w:t>MIRSD/</w:t>
      </w:r>
      <w:r w:rsidR="00614AA4" w:rsidRPr="00810505">
        <w:rPr>
          <w:rFonts w:ascii="Bookman Old Style" w:hAnsi="Bookman Old Style" w:cs="Arial"/>
        </w:rPr>
        <w:t xml:space="preserve"> </w:t>
      </w:r>
      <w:r w:rsidR="00920275" w:rsidRPr="00810505">
        <w:rPr>
          <w:rFonts w:ascii="Bookman Old Style" w:hAnsi="Bookman Old Style" w:cs="Arial"/>
        </w:rPr>
        <w:t>MIR</w:t>
      </w:r>
      <w:r w:rsidR="00614AA4" w:rsidRPr="00810505">
        <w:rPr>
          <w:rFonts w:ascii="Bookman Old Style" w:hAnsi="Bookman Old Style" w:cs="Arial"/>
        </w:rPr>
        <w:t xml:space="preserve"> </w:t>
      </w:r>
      <w:r w:rsidR="00920275" w:rsidRPr="00810505">
        <w:rPr>
          <w:rFonts w:ascii="Bookman Old Style" w:hAnsi="Bookman Old Style" w:cs="Arial"/>
        </w:rPr>
        <w:t>SD</w:t>
      </w:r>
      <w:r w:rsidR="00614AA4" w:rsidRPr="00810505">
        <w:rPr>
          <w:rFonts w:ascii="Bookman Old Style" w:hAnsi="Bookman Old Style" w:cs="Arial"/>
        </w:rPr>
        <w:t xml:space="preserve"> </w:t>
      </w:r>
      <w:r w:rsidR="00920275" w:rsidRPr="00810505">
        <w:rPr>
          <w:rFonts w:ascii="Bookman Old Style" w:hAnsi="Bookman Old Style" w:cs="Arial"/>
        </w:rPr>
        <w:t>SE</w:t>
      </w:r>
      <w:r w:rsidR="00614AA4" w:rsidRPr="00810505">
        <w:rPr>
          <w:rFonts w:ascii="Bookman Old Style" w:hAnsi="Bookman Old Style" w:cs="Arial"/>
        </w:rPr>
        <w:t xml:space="preserve"> </w:t>
      </w:r>
      <w:r w:rsidR="00920275" w:rsidRPr="00810505">
        <w:rPr>
          <w:rFonts w:ascii="Bookman Old Style" w:hAnsi="Bookman Old Style" w:cs="Arial"/>
        </w:rPr>
        <w:t>CF</w:t>
      </w:r>
      <w:r w:rsidR="00614AA4" w:rsidRPr="00810505">
        <w:rPr>
          <w:rFonts w:ascii="Bookman Old Style" w:hAnsi="Bookman Old Style" w:cs="Arial"/>
        </w:rPr>
        <w:t xml:space="preserve"> </w:t>
      </w:r>
      <w:r w:rsidR="00920275" w:rsidRPr="00810505">
        <w:rPr>
          <w:rFonts w:ascii="Bookman Old Style" w:hAnsi="Bookman Old Style" w:cs="Arial"/>
        </w:rPr>
        <w:t>ATF/</w:t>
      </w:r>
      <w:r w:rsidR="00614AA4" w:rsidRPr="00810505">
        <w:rPr>
          <w:rFonts w:ascii="Bookman Old Style" w:hAnsi="Bookman Old Style" w:cs="Arial"/>
        </w:rPr>
        <w:t xml:space="preserve"> </w:t>
      </w:r>
      <w:r w:rsidR="00920275" w:rsidRPr="00810505">
        <w:rPr>
          <w:rFonts w:ascii="Bookman Old Style" w:hAnsi="Bookman Old Style" w:cs="Arial"/>
        </w:rPr>
        <w:t>P/</w:t>
      </w:r>
      <w:r w:rsidR="00614AA4" w:rsidRPr="00810505">
        <w:rPr>
          <w:rFonts w:ascii="Bookman Old Style" w:hAnsi="Bookman Old Style" w:cs="Arial"/>
        </w:rPr>
        <w:t xml:space="preserve"> </w:t>
      </w:r>
      <w:r w:rsidR="00920275" w:rsidRPr="00810505">
        <w:rPr>
          <w:rFonts w:ascii="Bookman Old Style" w:hAnsi="Bookman Old Style" w:cs="Arial"/>
        </w:rPr>
        <w:t>CIR/</w:t>
      </w:r>
      <w:r w:rsidR="00614AA4" w:rsidRPr="00810505">
        <w:rPr>
          <w:rFonts w:ascii="Bookman Old Style" w:hAnsi="Bookman Old Style" w:cs="Arial"/>
        </w:rPr>
        <w:t xml:space="preserve"> </w:t>
      </w:r>
      <w:r w:rsidR="00920275" w:rsidRPr="00810505">
        <w:rPr>
          <w:rFonts w:ascii="Bookman Old Style" w:hAnsi="Bookman Old Style" w:cs="Arial"/>
        </w:rPr>
        <w:t>2024/78 dated June 06, 2024, respectively.</w:t>
      </w:r>
    </w:p>
    <w:p w14:paraId="7570E42A" w14:textId="21694067" w:rsidR="009F652B" w:rsidRPr="00810505" w:rsidRDefault="00A1262C" w:rsidP="00FC23D3">
      <w:pPr>
        <w:pStyle w:val="Heading1"/>
        <w:jc w:val="both"/>
        <w:rPr>
          <w:rFonts w:ascii="Bookman Old Style" w:hAnsi="Bookman Old Style" w:cs="Arial"/>
          <w:sz w:val="20"/>
          <w:szCs w:val="20"/>
        </w:rPr>
      </w:pPr>
      <w:bookmarkStart w:id="4" w:name="_Toc229159930"/>
      <w:r w:rsidRPr="00810505">
        <w:rPr>
          <w:rFonts w:ascii="Bookman Old Style" w:hAnsi="Bookman Old Style" w:cs="Arial"/>
          <w:sz w:val="20"/>
          <w:szCs w:val="20"/>
        </w:rPr>
        <w:t>objective</w:t>
      </w:r>
      <w:bookmarkEnd w:id="4"/>
      <w:r w:rsidRPr="00810505">
        <w:rPr>
          <w:rFonts w:ascii="Bookman Old Style" w:hAnsi="Bookman Old Style" w:cs="Arial"/>
          <w:sz w:val="20"/>
          <w:szCs w:val="20"/>
        </w:rPr>
        <w:t xml:space="preserve"> </w:t>
      </w:r>
    </w:p>
    <w:p w14:paraId="7A7E0E1A" w14:textId="717E1AD0" w:rsidR="00A1262C" w:rsidRPr="00810505" w:rsidRDefault="00A1262C" w:rsidP="00FC23D3">
      <w:pPr>
        <w:jc w:val="both"/>
        <w:rPr>
          <w:rFonts w:ascii="Bookman Old Style" w:hAnsi="Bookman Old Style" w:cs="Arial"/>
        </w:rPr>
      </w:pPr>
      <w:r w:rsidRPr="00810505">
        <w:rPr>
          <w:rFonts w:ascii="Bookman Old Style" w:hAnsi="Bookman Old Style" w:cs="Arial"/>
        </w:rPr>
        <w:t xml:space="preserve">This Policy is established by </w:t>
      </w:r>
      <w:r w:rsidR="002E7AC9" w:rsidRPr="00810505">
        <w:rPr>
          <w:rFonts w:ascii="Bookman Old Style" w:hAnsi="Bookman Old Style" w:cs="Arial"/>
        </w:rPr>
        <w:t>Portfolio Manager</w:t>
      </w:r>
      <w:r w:rsidRPr="00810505">
        <w:rPr>
          <w:rFonts w:ascii="Bookman Old Style" w:hAnsi="Bookman Old Style" w:cs="Arial"/>
        </w:rPr>
        <w:t xml:space="preserve">, in compliance with the Prevention of Money Laundering Act, 2002 (PMLA), and in alignment with global measures to combat money laundering (ML), terrorism financing (TF), and other serious crimes. This Policy ensures that </w:t>
      </w:r>
      <w:r w:rsidR="002E7AC9" w:rsidRPr="00810505">
        <w:rPr>
          <w:rFonts w:ascii="Bookman Old Style" w:hAnsi="Bookman Old Style" w:cs="Arial"/>
        </w:rPr>
        <w:t>Portfolio Manager</w:t>
      </w:r>
      <w:r w:rsidRPr="00810505">
        <w:rPr>
          <w:rFonts w:ascii="Bookman Old Style" w:hAnsi="Bookman Old Style" w:cs="Arial"/>
        </w:rPr>
        <w:t xml:space="preserve"> follows effective procedures to prevent, detect, and report activities related to money laundering and terrorism financing, fulfilling its obligations as per statutory and regulatory requirements.</w:t>
      </w:r>
    </w:p>
    <w:p w14:paraId="50F000F8" w14:textId="5C0CEA02" w:rsidR="00A1262C"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A1262C" w:rsidRPr="00810505">
        <w:rPr>
          <w:rFonts w:ascii="Bookman Old Style" w:hAnsi="Bookman Old Style" w:cs="Arial"/>
        </w:rPr>
        <w:t xml:space="preserve"> has put in place this Policy to ensure strict adherence to AML and CFT guidelines, protect the integrity of the financial system, and comply with the regulatory framework governing money laundering and terrorism financing activities. This includes adherence to all applicable provisions of the PMLA, as well as SEBI, FIU, and other regulatory bodies</w:t>
      </w:r>
      <w:r w:rsidR="00CF0E44" w:rsidRPr="00810505">
        <w:rPr>
          <w:rFonts w:ascii="Bookman Old Style" w:hAnsi="Bookman Old Style" w:cs="Arial"/>
        </w:rPr>
        <w:t>.</w:t>
      </w:r>
    </w:p>
    <w:p w14:paraId="78442120" w14:textId="77777777" w:rsidR="00176C57" w:rsidRPr="00810505" w:rsidRDefault="00176C57" w:rsidP="00FC23D3">
      <w:pPr>
        <w:pStyle w:val="Heading1"/>
        <w:jc w:val="both"/>
        <w:rPr>
          <w:rFonts w:ascii="Bookman Old Style" w:hAnsi="Bookman Old Style" w:cs="Arial"/>
          <w:sz w:val="20"/>
          <w:szCs w:val="20"/>
          <w:lang w:val="en-IN"/>
        </w:rPr>
      </w:pPr>
      <w:bookmarkStart w:id="5" w:name="_Toc33991"/>
      <w:bookmarkStart w:id="6" w:name="_Toc185874076"/>
      <w:bookmarkStart w:id="7" w:name="_Toc229159931"/>
      <w:r w:rsidRPr="00810505">
        <w:rPr>
          <w:rFonts w:ascii="Bookman Old Style" w:hAnsi="Bookman Old Style" w:cs="Arial"/>
          <w:sz w:val="20"/>
          <w:szCs w:val="20"/>
          <w:lang w:val="en-IN"/>
        </w:rPr>
        <w:t>Obligation to establish policies and procedures</w:t>
      </w:r>
      <w:bookmarkEnd w:id="5"/>
      <w:bookmarkEnd w:id="6"/>
      <w:bookmarkEnd w:id="7"/>
    </w:p>
    <w:p w14:paraId="7652AD4C" w14:textId="77777777" w:rsidR="0002698B" w:rsidRPr="00810505" w:rsidRDefault="0002698B" w:rsidP="00FC23D3">
      <w:pPr>
        <w:jc w:val="both"/>
        <w:rPr>
          <w:rFonts w:ascii="Bookman Old Style" w:hAnsi="Bookman Old Style" w:cs="Arial"/>
        </w:rPr>
      </w:pPr>
      <w:r w:rsidRPr="00810505">
        <w:rPr>
          <w:rFonts w:ascii="Bookman Old Style" w:hAnsi="Bookman Old Style" w:cs="Arial"/>
        </w:rPr>
        <w:t>Global measures taken to combat drug trafficking, terrorism and other organized and serious crimes have all emphasized the need for financial institutions, including securities market intermediaries, to establish internal procedures that effectively serve to prevent and impede money laundering and terrorist financing. The PMLA is in line with these measures and mandates that all intermediaries ensure the fulfilment of the aforementioned obligations.</w:t>
      </w:r>
    </w:p>
    <w:p w14:paraId="5CCF46A0" w14:textId="551FF7BC" w:rsidR="0002698B" w:rsidRPr="00810505" w:rsidRDefault="0002698B" w:rsidP="00FC23D3">
      <w:pPr>
        <w:jc w:val="both"/>
        <w:rPr>
          <w:rFonts w:ascii="Bookman Old Style" w:hAnsi="Bookman Old Style" w:cs="Arial"/>
        </w:rPr>
      </w:pPr>
      <w:r w:rsidRPr="00810505">
        <w:rPr>
          <w:rFonts w:ascii="Bookman Old Style" w:hAnsi="Bookman Old Style" w:cs="Arial"/>
        </w:rPr>
        <w:t>“</w:t>
      </w:r>
      <w:r w:rsidR="00414A48" w:rsidRPr="00810505">
        <w:rPr>
          <w:rFonts w:ascii="Bookman Old Style" w:hAnsi="Bookman Old Style" w:cs="Arial"/>
          <w:b/>
          <w:bCs/>
        </w:rPr>
        <w:t>G</w:t>
      </w:r>
      <w:r w:rsidRPr="00810505">
        <w:rPr>
          <w:rFonts w:ascii="Bookman Old Style" w:hAnsi="Bookman Old Style" w:cs="Arial"/>
          <w:b/>
          <w:bCs/>
        </w:rPr>
        <w:t xml:space="preserve">roup" </w:t>
      </w:r>
      <w:r w:rsidRPr="00810505">
        <w:rPr>
          <w:rFonts w:ascii="Bookman Old Style" w:hAnsi="Bookman Old Style" w:cs="Arial"/>
        </w:rPr>
        <w:t xml:space="preserve">shall have the same meaning assigned to it in clause (cba) of sub-rule (1) of rule 2 of the Prevention of Money-laundering (Maintenance of Records) Rules, 2005 as amended from time to time. Groups shall implement group-wide policies for the purpose of discharging obligations under chapter 4 of </w:t>
      </w:r>
      <w:r w:rsidR="00C44FC1" w:rsidRPr="00810505">
        <w:rPr>
          <w:rFonts w:ascii="Bookman Old Style" w:hAnsi="Bookman Old Style" w:cs="Arial"/>
        </w:rPr>
        <w:t>PMLA.</w:t>
      </w:r>
    </w:p>
    <w:p w14:paraId="5A760A01" w14:textId="7F1F4DA8" w:rsidR="004604B5" w:rsidRPr="00D71C0E" w:rsidRDefault="002E7AC9" w:rsidP="00FC23D3">
      <w:pPr>
        <w:jc w:val="both"/>
        <w:rPr>
          <w:rFonts w:ascii="Bookman Old Style" w:hAnsi="Bookman Old Style" w:cs="Arial"/>
          <w:lang w:val="en-IN"/>
        </w:rPr>
      </w:pPr>
      <w:r w:rsidRPr="00810505">
        <w:rPr>
          <w:rFonts w:ascii="Bookman Old Style" w:hAnsi="Bookman Old Style" w:cs="Arial"/>
          <w:lang w:val="en-IN"/>
        </w:rPr>
        <w:t>Portfolio Manager</w:t>
      </w:r>
      <w:r w:rsidR="006B2669" w:rsidRPr="00810505">
        <w:rPr>
          <w:rFonts w:ascii="Bookman Old Style" w:hAnsi="Bookman Old Style" w:cs="Arial"/>
          <w:lang w:val="en-IN"/>
        </w:rPr>
        <w:t>, as part of its PMLA compliance, has a structured group-wide AML/CFT framework to ensure robust money laundering (ML) and terrorist financing (TF) risk management across all its branches and majority-owned subsidiaries.</w:t>
      </w:r>
    </w:p>
    <w:p w14:paraId="02669426" w14:textId="7381ED35" w:rsidR="006B2669" w:rsidRPr="00810505" w:rsidRDefault="006B2669" w:rsidP="00FC23D3">
      <w:pPr>
        <w:jc w:val="both"/>
        <w:rPr>
          <w:rFonts w:ascii="Bookman Old Style" w:hAnsi="Bookman Old Style" w:cs="Arial"/>
          <w:b/>
          <w:bCs/>
          <w:lang w:val="en-IN"/>
        </w:rPr>
      </w:pPr>
      <w:r w:rsidRPr="00810505">
        <w:rPr>
          <w:rFonts w:ascii="Bookman Old Style" w:hAnsi="Bookman Old Style" w:cs="Arial"/>
          <w:b/>
          <w:bCs/>
          <w:lang w:val="en-IN"/>
        </w:rPr>
        <w:t>Key Measures:</w:t>
      </w:r>
    </w:p>
    <w:p w14:paraId="344E2E60" w14:textId="77777777" w:rsidR="006B2669" w:rsidRPr="00810505" w:rsidRDefault="006B2669">
      <w:pPr>
        <w:numPr>
          <w:ilvl w:val="0"/>
          <w:numId w:val="30"/>
        </w:numPr>
        <w:jc w:val="both"/>
        <w:rPr>
          <w:rFonts w:ascii="Bookman Old Style" w:hAnsi="Bookman Old Style" w:cs="Arial"/>
          <w:lang w:val="en-IN"/>
        </w:rPr>
      </w:pPr>
      <w:r w:rsidRPr="00810505">
        <w:rPr>
          <w:rFonts w:ascii="Bookman Old Style" w:hAnsi="Bookman Old Style" w:cs="Arial"/>
          <w:lang w:val="en-IN"/>
        </w:rPr>
        <w:lastRenderedPageBreak/>
        <w:t>Information Sharing: Policies for seamless exchange of data related to Customer Due Diligence (CDD) and ML/TF risk management.</w:t>
      </w:r>
    </w:p>
    <w:p w14:paraId="3655F80A" w14:textId="77777777" w:rsidR="006B2669" w:rsidRPr="00810505" w:rsidRDefault="006B2669">
      <w:pPr>
        <w:numPr>
          <w:ilvl w:val="0"/>
          <w:numId w:val="30"/>
        </w:numPr>
        <w:jc w:val="both"/>
        <w:rPr>
          <w:rFonts w:ascii="Bookman Old Style" w:hAnsi="Bookman Old Style" w:cs="Arial"/>
          <w:lang w:val="en-IN"/>
        </w:rPr>
      </w:pPr>
      <w:r w:rsidRPr="00810505">
        <w:rPr>
          <w:rFonts w:ascii="Bookman Old Style" w:hAnsi="Bookman Old Style" w:cs="Arial"/>
          <w:lang w:val="en-IN"/>
        </w:rPr>
        <w:t xml:space="preserve">Group-Level Oversight: Compliance, audit, and AML functions at the group level shall have access to customer, account, and transaction details when required for AML/CFT purposes. This includes monitoring and </w:t>
      </w:r>
      <w:proofErr w:type="spellStart"/>
      <w:r w:rsidRPr="00810505">
        <w:rPr>
          <w:rFonts w:ascii="Bookman Old Style" w:hAnsi="Bookman Old Style" w:cs="Arial"/>
          <w:lang w:val="en-IN"/>
        </w:rPr>
        <w:t>analyzing</w:t>
      </w:r>
      <w:proofErr w:type="spellEnd"/>
      <w:r w:rsidRPr="00810505">
        <w:rPr>
          <w:rFonts w:ascii="Bookman Old Style" w:hAnsi="Bookman Old Style" w:cs="Arial"/>
          <w:lang w:val="en-IN"/>
        </w:rPr>
        <w:t xml:space="preserve"> unusual transactions.</w:t>
      </w:r>
    </w:p>
    <w:p w14:paraId="1B1955FA" w14:textId="77777777" w:rsidR="006B2669" w:rsidRPr="00810505" w:rsidRDefault="006B2669">
      <w:pPr>
        <w:numPr>
          <w:ilvl w:val="0"/>
          <w:numId w:val="30"/>
        </w:numPr>
        <w:jc w:val="both"/>
        <w:rPr>
          <w:rFonts w:ascii="Bookman Old Style" w:hAnsi="Bookman Old Style" w:cs="Arial"/>
          <w:lang w:val="en-IN"/>
        </w:rPr>
      </w:pPr>
      <w:r w:rsidRPr="00810505">
        <w:rPr>
          <w:rFonts w:ascii="Bookman Old Style" w:hAnsi="Bookman Old Style" w:cs="Arial"/>
          <w:lang w:val="en-IN"/>
        </w:rPr>
        <w:t>Confidentiality &amp; Security: Strong safeguards to maintain the confidentiality of exchanged information and prevent tipping-off.</w:t>
      </w:r>
    </w:p>
    <w:p w14:paraId="36041018" w14:textId="20B5F0D8" w:rsidR="006B2669" w:rsidRPr="00810505" w:rsidRDefault="002E7AC9" w:rsidP="00FC23D3">
      <w:pPr>
        <w:jc w:val="both"/>
        <w:rPr>
          <w:rFonts w:ascii="Bookman Old Style" w:hAnsi="Bookman Old Style" w:cs="Arial"/>
          <w:lang w:val="en-IN"/>
        </w:rPr>
      </w:pPr>
      <w:r w:rsidRPr="00810505">
        <w:rPr>
          <w:rFonts w:ascii="Bookman Old Style" w:hAnsi="Bookman Old Style" w:cs="Arial"/>
          <w:lang w:val="en-IN"/>
        </w:rPr>
        <w:t>Portfolio Manager</w:t>
      </w:r>
      <w:r w:rsidR="006B2669" w:rsidRPr="00810505">
        <w:rPr>
          <w:rFonts w:ascii="Bookman Old Style" w:hAnsi="Bookman Old Style" w:cs="Arial"/>
          <w:lang w:val="en-IN"/>
        </w:rPr>
        <w:t xml:space="preserve"> ensures strict adherence to SEBI’s PMLA guidelines for effective risk management within its financial group.</w:t>
      </w:r>
    </w:p>
    <w:p w14:paraId="01F3D29C" w14:textId="2833F47B" w:rsidR="0002698B" w:rsidRPr="00810505" w:rsidRDefault="0002698B" w:rsidP="00FC23D3">
      <w:pPr>
        <w:jc w:val="both"/>
        <w:rPr>
          <w:rFonts w:ascii="Bookman Old Style" w:hAnsi="Bookman Old Style" w:cs="Arial"/>
        </w:rPr>
      </w:pPr>
      <w:r w:rsidRPr="00810505">
        <w:rPr>
          <w:rFonts w:ascii="Bookman Old Style" w:hAnsi="Bookman Old Style" w:cs="Arial"/>
        </w:rPr>
        <w:t xml:space="preserve">To be in compliance with these obligations, the senior management of </w:t>
      </w:r>
      <w:r w:rsidR="002E7AC9" w:rsidRPr="00810505">
        <w:rPr>
          <w:rFonts w:ascii="Bookman Old Style" w:hAnsi="Bookman Old Style" w:cs="Arial"/>
        </w:rPr>
        <w:t>Portfolio Manager</w:t>
      </w:r>
      <w:r w:rsidRPr="00810505">
        <w:rPr>
          <w:rFonts w:ascii="Bookman Old Style" w:hAnsi="Bookman Old Style" w:cs="Arial"/>
        </w:rPr>
        <w:t xml:space="preserve"> is fully committed to establishing appropriate policies and procedures for the prevention of ML and TF and ensuring their effectiveness and compliance with all relevant legal and regulatory requirements. Accordingly, </w:t>
      </w:r>
      <w:r w:rsidR="002E7AC9" w:rsidRPr="00810505">
        <w:rPr>
          <w:rFonts w:ascii="Bookman Old Style" w:hAnsi="Bookman Old Style" w:cs="Arial"/>
        </w:rPr>
        <w:t>Portfolio Manager</w:t>
      </w:r>
      <w:r w:rsidRPr="00810505">
        <w:rPr>
          <w:rFonts w:ascii="Bookman Old Style" w:hAnsi="Bookman Old Style" w:cs="Arial"/>
        </w:rPr>
        <w:t xml:space="preserve"> </w:t>
      </w:r>
      <w:r w:rsidR="00480E2B" w:rsidRPr="00810505">
        <w:rPr>
          <w:rFonts w:ascii="Bookman Old Style" w:hAnsi="Bookman Old Style" w:cs="Arial"/>
        </w:rPr>
        <w:t>shall</w:t>
      </w:r>
      <w:r w:rsidRPr="00810505">
        <w:rPr>
          <w:rFonts w:ascii="Bookman Old Style" w:hAnsi="Bookman Old Style" w:cs="Arial"/>
        </w:rPr>
        <w:t>:</w:t>
      </w:r>
    </w:p>
    <w:p w14:paraId="01E357B5" w14:textId="48EEA4D2"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I</w:t>
      </w:r>
      <w:r w:rsidR="0002698B" w:rsidRPr="00810505">
        <w:rPr>
          <w:rFonts w:ascii="Bookman Old Style" w:hAnsi="Bookman Old Style" w:cs="Arial"/>
        </w:rPr>
        <w:t xml:space="preserve">ssue a statement of policies and procedures and </w:t>
      </w:r>
      <w:r w:rsidR="00C44FC1" w:rsidRPr="00810505">
        <w:rPr>
          <w:rFonts w:ascii="Bookman Old Style" w:hAnsi="Bookman Old Style" w:cs="Arial"/>
        </w:rPr>
        <w:t>implementation</w:t>
      </w:r>
      <w:r w:rsidR="0002698B" w:rsidRPr="00810505">
        <w:rPr>
          <w:rFonts w:ascii="Bookman Old Style" w:hAnsi="Bookman Old Style" w:cs="Arial"/>
        </w:rPr>
        <w:t xml:space="preserve">, on a group basis where applicable, for dealing with ML and TF reflecting the current statutory and regulatory </w:t>
      </w:r>
      <w:r w:rsidR="00C44FC1" w:rsidRPr="00810505">
        <w:rPr>
          <w:rFonts w:ascii="Bookman Old Style" w:hAnsi="Bookman Old Style" w:cs="Arial"/>
        </w:rPr>
        <w:t>requirements.</w:t>
      </w:r>
    </w:p>
    <w:p w14:paraId="09A8749B" w14:textId="47C28043"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E</w:t>
      </w:r>
      <w:r w:rsidR="0002698B" w:rsidRPr="00810505">
        <w:rPr>
          <w:rFonts w:ascii="Bookman Old Style" w:hAnsi="Bookman Old Style" w:cs="Arial"/>
        </w:rPr>
        <w:t xml:space="preserve">nsure that the content of these Directives </w:t>
      </w:r>
      <w:proofErr w:type="gramStart"/>
      <w:r w:rsidR="0002698B" w:rsidRPr="00810505">
        <w:rPr>
          <w:rFonts w:ascii="Bookman Old Style" w:hAnsi="Bookman Old Style" w:cs="Arial"/>
        </w:rPr>
        <w:t>are</w:t>
      </w:r>
      <w:proofErr w:type="gramEnd"/>
      <w:r w:rsidR="0002698B" w:rsidRPr="00810505">
        <w:rPr>
          <w:rFonts w:ascii="Bookman Old Style" w:hAnsi="Bookman Old Style" w:cs="Arial"/>
        </w:rPr>
        <w:t xml:space="preserve"> understood by all staff </w:t>
      </w:r>
      <w:r w:rsidR="00C44FC1" w:rsidRPr="00810505">
        <w:rPr>
          <w:rFonts w:ascii="Bookman Old Style" w:hAnsi="Bookman Old Style" w:cs="Arial"/>
        </w:rPr>
        <w:t>members.</w:t>
      </w:r>
    </w:p>
    <w:p w14:paraId="1E8E0B1D" w14:textId="7990D55F"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R</w:t>
      </w:r>
      <w:r w:rsidR="0002698B" w:rsidRPr="00810505">
        <w:rPr>
          <w:rFonts w:ascii="Bookman Old Style" w:hAnsi="Bookman Old Style" w:cs="Arial"/>
        </w:rPr>
        <w:t xml:space="preserve">egularly review the policies and procedures on the prevention of ML and TF to ensure their effectiveness. Further, in order to ensure the effectiveness of policies and procedures, the person doing such a review shall be different from the one who has framed such policies and </w:t>
      </w:r>
      <w:r w:rsidR="00C44FC1" w:rsidRPr="00810505">
        <w:rPr>
          <w:rFonts w:ascii="Bookman Old Style" w:hAnsi="Bookman Old Style" w:cs="Arial"/>
        </w:rPr>
        <w:t>procedures.</w:t>
      </w:r>
    </w:p>
    <w:p w14:paraId="4A4D1B37" w14:textId="350D44F3"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A</w:t>
      </w:r>
      <w:r w:rsidR="0002698B" w:rsidRPr="00810505">
        <w:rPr>
          <w:rFonts w:ascii="Bookman Old Style" w:hAnsi="Bookman Old Style" w:cs="Arial"/>
        </w:rPr>
        <w:t xml:space="preserve">dopt client acceptance policies and procedures which are sensitive to the risk of ML and </w:t>
      </w:r>
      <w:r w:rsidR="00C44FC1" w:rsidRPr="00810505">
        <w:rPr>
          <w:rFonts w:ascii="Bookman Old Style" w:hAnsi="Bookman Old Style" w:cs="Arial"/>
        </w:rPr>
        <w:t>TF.</w:t>
      </w:r>
    </w:p>
    <w:p w14:paraId="0B19DFC8" w14:textId="750B85E8"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U</w:t>
      </w:r>
      <w:r w:rsidR="0002698B" w:rsidRPr="00810505">
        <w:rPr>
          <w:rFonts w:ascii="Bookman Old Style" w:hAnsi="Bookman Old Style" w:cs="Arial"/>
        </w:rPr>
        <w:t xml:space="preserve">ndertake client due diligence (“CDD”) measures to an extent that is sensitive to the risk of ML and TF depending on the type of client, business relationship or </w:t>
      </w:r>
      <w:r w:rsidR="00C44FC1" w:rsidRPr="00810505">
        <w:rPr>
          <w:rFonts w:ascii="Bookman Old Style" w:hAnsi="Bookman Old Style" w:cs="Arial"/>
        </w:rPr>
        <w:t>transaction.</w:t>
      </w:r>
    </w:p>
    <w:p w14:paraId="7AAAA41D" w14:textId="154ED001"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H</w:t>
      </w:r>
      <w:r w:rsidR="0002698B" w:rsidRPr="00810505">
        <w:rPr>
          <w:rFonts w:ascii="Bookman Old Style" w:hAnsi="Bookman Old Style" w:cs="Arial"/>
        </w:rPr>
        <w:t>ave in system a place for identifying, monitoring and reporting suspected ML or TF transactions to the law enforcement authorities; and</w:t>
      </w:r>
    </w:p>
    <w:p w14:paraId="7F66F008" w14:textId="47147EA9" w:rsidR="0002698B" w:rsidRPr="00810505" w:rsidRDefault="00B84F40">
      <w:pPr>
        <w:numPr>
          <w:ilvl w:val="1"/>
          <w:numId w:val="16"/>
        </w:numPr>
        <w:jc w:val="both"/>
        <w:rPr>
          <w:rFonts w:ascii="Bookman Old Style" w:hAnsi="Bookman Old Style" w:cs="Arial"/>
        </w:rPr>
      </w:pPr>
      <w:r w:rsidRPr="00810505">
        <w:rPr>
          <w:rFonts w:ascii="Bookman Old Style" w:hAnsi="Bookman Old Style" w:cs="Arial"/>
        </w:rPr>
        <w:t>D</w:t>
      </w:r>
      <w:r w:rsidR="0002698B" w:rsidRPr="00810505">
        <w:rPr>
          <w:rFonts w:ascii="Bookman Old Style" w:hAnsi="Bookman Old Style" w:cs="Arial"/>
        </w:rPr>
        <w:t>evelop staff members’ awareness &amp; vigilance to guard against ML &amp; TF</w:t>
      </w:r>
    </w:p>
    <w:p w14:paraId="49BF2927" w14:textId="77777777" w:rsidR="006D2D60" w:rsidRDefault="006D2D60" w:rsidP="00FC23D3">
      <w:pPr>
        <w:jc w:val="both"/>
        <w:rPr>
          <w:rFonts w:ascii="Bookman Old Style" w:hAnsi="Bookman Old Style" w:cs="Arial"/>
        </w:rPr>
      </w:pPr>
    </w:p>
    <w:p w14:paraId="2B135AB8" w14:textId="3EBBE7FA" w:rsidR="0002698B" w:rsidRPr="00810505" w:rsidRDefault="0002698B" w:rsidP="00FC23D3">
      <w:pPr>
        <w:jc w:val="both"/>
        <w:rPr>
          <w:rFonts w:ascii="Bookman Old Style" w:hAnsi="Bookman Old Style" w:cs="Arial"/>
        </w:rPr>
      </w:pPr>
      <w:r w:rsidRPr="00810505">
        <w:rPr>
          <w:rFonts w:ascii="Bookman Old Style" w:hAnsi="Bookman Old Style" w:cs="Arial"/>
        </w:rPr>
        <w:t>Policies and procedures to combat ML shall cover:</w:t>
      </w:r>
    </w:p>
    <w:p w14:paraId="208C0968" w14:textId="6DF771A6"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 xml:space="preserve">Communication of group policies relating to prevention of ML and TF to all management and relevant staff that handles account information, securities transactions, money and client records etc. whether in branches, departments or </w:t>
      </w:r>
      <w:r w:rsidR="00C44FC1" w:rsidRPr="00810505">
        <w:rPr>
          <w:rFonts w:ascii="Bookman Old Style" w:hAnsi="Bookman Old Style" w:cs="Arial"/>
        </w:rPr>
        <w:t>subsidiaries.</w:t>
      </w:r>
    </w:p>
    <w:p w14:paraId="375195FA" w14:textId="6C7E1E78"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 xml:space="preserve">Client acceptance policy and client due diligence measures, including requirements for proper </w:t>
      </w:r>
      <w:r w:rsidR="00C44FC1" w:rsidRPr="00810505">
        <w:rPr>
          <w:rFonts w:ascii="Bookman Old Style" w:hAnsi="Bookman Old Style" w:cs="Arial"/>
        </w:rPr>
        <w:t>identification.</w:t>
      </w:r>
    </w:p>
    <w:p w14:paraId="4FF35E54" w14:textId="3B8104CA"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lastRenderedPageBreak/>
        <w:t xml:space="preserve">Maintenance of </w:t>
      </w:r>
      <w:r w:rsidR="00C44FC1" w:rsidRPr="00810505">
        <w:rPr>
          <w:rFonts w:ascii="Bookman Old Style" w:hAnsi="Bookman Old Style" w:cs="Arial"/>
        </w:rPr>
        <w:t>records.</w:t>
      </w:r>
    </w:p>
    <w:p w14:paraId="4676936F" w14:textId="566E4E4C"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 xml:space="preserve">Compliance with relevant statutory and regulatory </w:t>
      </w:r>
      <w:r w:rsidR="00C44FC1" w:rsidRPr="00810505">
        <w:rPr>
          <w:rFonts w:ascii="Bookman Old Style" w:hAnsi="Bookman Old Style" w:cs="Arial"/>
        </w:rPr>
        <w:t>requirements.</w:t>
      </w:r>
    </w:p>
    <w:p w14:paraId="4E02D7C6" w14:textId="77777777"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Co-operation with the relevant law enforcement authorities, including the timely disclosure of information; and</w:t>
      </w:r>
    </w:p>
    <w:p w14:paraId="5E1CA796" w14:textId="77777777" w:rsidR="0002698B"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 xml:space="preserve">Role of internal audit or compliance function to ensure compliance with the policies, procedures, and controls relating to the prevention of ML and TF, including the testing of the system for detecting suspected money laundering transactions, evaluating and checking the adequacy of exception reports generated on large and/or irregular transactions, the quality of reporting of suspicious transactions and the level of awareness of front-line staff, of their responsibilities in this regard; and </w:t>
      </w:r>
    </w:p>
    <w:p w14:paraId="019992AC" w14:textId="63D1EDC4" w:rsidR="00176C57" w:rsidRPr="00810505" w:rsidRDefault="0002698B">
      <w:pPr>
        <w:numPr>
          <w:ilvl w:val="0"/>
          <w:numId w:val="17"/>
        </w:numPr>
        <w:ind w:left="284" w:hanging="14"/>
        <w:jc w:val="both"/>
        <w:rPr>
          <w:rFonts w:ascii="Bookman Old Style" w:hAnsi="Bookman Old Style" w:cs="Arial"/>
        </w:rPr>
      </w:pPr>
      <w:r w:rsidRPr="00810505">
        <w:rPr>
          <w:rFonts w:ascii="Bookman Old Style" w:hAnsi="Bookman Old Style" w:cs="Arial"/>
        </w:rPr>
        <w:t>The internal audit function shall be independent, adequately resourced and commensurate with the size of the business and operations, organization structure, number of clients and other such factors.</w:t>
      </w:r>
    </w:p>
    <w:p w14:paraId="1758DD4E" w14:textId="6879F8BE" w:rsidR="0001580E" w:rsidRPr="00810505" w:rsidRDefault="005B7FBE" w:rsidP="00FC23D3">
      <w:pPr>
        <w:pStyle w:val="Heading1"/>
        <w:jc w:val="both"/>
        <w:rPr>
          <w:rFonts w:ascii="Bookman Old Style" w:hAnsi="Bookman Old Style" w:cs="Arial"/>
          <w:sz w:val="20"/>
          <w:szCs w:val="20"/>
        </w:rPr>
      </w:pPr>
      <w:bookmarkStart w:id="8" w:name="_Toc229159932"/>
      <w:r w:rsidRPr="00810505">
        <w:rPr>
          <w:rFonts w:ascii="Bookman Old Style" w:hAnsi="Bookman Old Style" w:cs="Arial"/>
          <w:sz w:val="20"/>
          <w:szCs w:val="20"/>
        </w:rPr>
        <w:t>Written Anti-Money Laundering Procedures</w:t>
      </w:r>
      <w:bookmarkEnd w:id="8"/>
    </w:p>
    <w:p w14:paraId="5AEAF1C6" w14:textId="10003AAB" w:rsidR="0021360F"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21360F" w:rsidRPr="00810505">
        <w:rPr>
          <w:rFonts w:ascii="Bookman Old Style" w:hAnsi="Bookman Old Style" w:cs="Arial"/>
        </w:rPr>
        <w:t xml:space="preserve"> shall adopt and implement written procedures to effectively fulfill its obligations under the Prevention of Money Laundering Act (PMLA). These procedures are designed to ensure the detection and prevention of money laundering (ML) and terrorist financing (TF) risks and shall be reviewed and updated regularly.</w:t>
      </w:r>
    </w:p>
    <w:p w14:paraId="024A1E63" w14:textId="77777777" w:rsidR="0021360F" w:rsidRPr="00810505" w:rsidRDefault="0021360F" w:rsidP="00FC23D3">
      <w:pPr>
        <w:jc w:val="both"/>
        <w:rPr>
          <w:rFonts w:ascii="Bookman Old Style" w:hAnsi="Bookman Old Style" w:cs="Arial"/>
        </w:rPr>
      </w:pPr>
      <w:r w:rsidRPr="00810505">
        <w:rPr>
          <w:rFonts w:ascii="Bookman Old Style" w:hAnsi="Bookman Old Style" w:cs="Arial"/>
        </w:rPr>
        <w:t>The procedures shall focus on the following key areas, related to the Client Due Diligence (CDD) process:</w:t>
      </w:r>
    </w:p>
    <w:p w14:paraId="6F5346D6" w14:textId="70D7730B" w:rsidR="004F65AF" w:rsidRPr="00810505" w:rsidRDefault="0040676D">
      <w:pPr>
        <w:pStyle w:val="TableParagraph"/>
        <w:numPr>
          <w:ilvl w:val="0"/>
          <w:numId w:val="18"/>
        </w:numPr>
        <w:tabs>
          <w:tab w:val="left" w:pos="-5942"/>
        </w:tabs>
        <w:spacing w:before="223" w:after="0" w:line="240" w:lineRule="auto"/>
        <w:jc w:val="both"/>
        <w:rPr>
          <w:rFonts w:ascii="Bookman Old Style" w:hAnsi="Bookman Old Style" w:cs="Arial"/>
          <w:sz w:val="20"/>
          <w:szCs w:val="20"/>
        </w:rPr>
      </w:pPr>
      <w:r>
        <w:rPr>
          <w:rFonts w:ascii="Bookman Old Style" w:hAnsi="Bookman Old Style" w:cs="Arial"/>
          <w:spacing w:val="-1"/>
          <w:sz w:val="20"/>
          <w:szCs w:val="20"/>
        </w:rPr>
        <w:t>P</w:t>
      </w:r>
      <w:r w:rsidR="004F65AF" w:rsidRPr="00810505">
        <w:rPr>
          <w:rFonts w:ascii="Bookman Old Style" w:hAnsi="Bookman Old Style" w:cs="Arial"/>
          <w:spacing w:val="-1"/>
          <w:sz w:val="20"/>
          <w:szCs w:val="20"/>
        </w:rPr>
        <w:t>olicy</w:t>
      </w:r>
      <w:r w:rsidR="004F65AF" w:rsidRPr="00810505">
        <w:rPr>
          <w:rFonts w:ascii="Bookman Old Style" w:hAnsi="Bookman Old Style" w:cs="Arial"/>
          <w:spacing w:val="-12"/>
          <w:sz w:val="20"/>
          <w:szCs w:val="20"/>
        </w:rPr>
        <w:t xml:space="preserve"> </w:t>
      </w:r>
      <w:r w:rsidR="004F65AF" w:rsidRPr="00810505">
        <w:rPr>
          <w:rFonts w:ascii="Bookman Old Style" w:hAnsi="Bookman Old Style" w:cs="Arial"/>
          <w:spacing w:val="-1"/>
          <w:sz w:val="20"/>
          <w:szCs w:val="20"/>
        </w:rPr>
        <w:t>for</w:t>
      </w:r>
      <w:r w:rsidR="004F65AF" w:rsidRPr="00810505">
        <w:rPr>
          <w:rFonts w:ascii="Bookman Old Style" w:hAnsi="Bookman Old Style" w:cs="Arial"/>
          <w:spacing w:val="-10"/>
          <w:sz w:val="20"/>
          <w:szCs w:val="20"/>
        </w:rPr>
        <w:t xml:space="preserve"> </w:t>
      </w:r>
      <w:r w:rsidR="004F65AF" w:rsidRPr="00810505">
        <w:rPr>
          <w:rFonts w:ascii="Bookman Old Style" w:hAnsi="Bookman Old Style" w:cs="Arial"/>
          <w:spacing w:val="-1"/>
          <w:sz w:val="20"/>
          <w:szCs w:val="20"/>
        </w:rPr>
        <w:t xml:space="preserve">acceptance </w:t>
      </w:r>
      <w:r w:rsidR="004F65AF" w:rsidRPr="00810505">
        <w:rPr>
          <w:rFonts w:ascii="Bookman Old Style" w:hAnsi="Bookman Old Style" w:cs="Arial"/>
          <w:sz w:val="20"/>
          <w:szCs w:val="20"/>
        </w:rPr>
        <w:t>of</w:t>
      </w:r>
      <w:r w:rsidR="004F65AF" w:rsidRPr="00810505">
        <w:rPr>
          <w:rFonts w:ascii="Bookman Old Style" w:hAnsi="Bookman Old Style" w:cs="Arial"/>
          <w:spacing w:val="-6"/>
          <w:sz w:val="20"/>
          <w:szCs w:val="20"/>
        </w:rPr>
        <w:t xml:space="preserve"> </w:t>
      </w:r>
      <w:r w:rsidR="00C44FC1" w:rsidRPr="00810505">
        <w:rPr>
          <w:rFonts w:ascii="Bookman Old Style" w:hAnsi="Bookman Old Style" w:cs="Arial"/>
          <w:sz w:val="20"/>
          <w:szCs w:val="20"/>
        </w:rPr>
        <w:t>clients.</w:t>
      </w:r>
    </w:p>
    <w:p w14:paraId="68D173A7" w14:textId="5F5D190F" w:rsidR="004F65AF" w:rsidRPr="00810505" w:rsidRDefault="0040676D">
      <w:pPr>
        <w:pStyle w:val="TableParagraph"/>
        <w:numPr>
          <w:ilvl w:val="0"/>
          <w:numId w:val="18"/>
        </w:numPr>
        <w:tabs>
          <w:tab w:val="left" w:pos="-5942"/>
        </w:tabs>
        <w:spacing w:before="167" w:after="0" w:line="240" w:lineRule="auto"/>
        <w:ind w:right="77"/>
        <w:jc w:val="both"/>
        <w:rPr>
          <w:rFonts w:ascii="Bookman Old Style" w:hAnsi="Bookman Old Style" w:cs="Arial"/>
          <w:sz w:val="20"/>
          <w:szCs w:val="20"/>
        </w:rPr>
      </w:pPr>
      <w:r>
        <w:rPr>
          <w:rFonts w:ascii="Bookman Old Style" w:hAnsi="Bookman Old Style" w:cs="Arial"/>
          <w:spacing w:val="-1"/>
          <w:sz w:val="20"/>
          <w:szCs w:val="20"/>
        </w:rPr>
        <w:t>P</w:t>
      </w:r>
      <w:r w:rsidR="004F65AF" w:rsidRPr="00810505">
        <w:rPr>
          <w:rFonts w:ascii="Bookman Old Style" w:hAnsi="Bookman Old Style" w:cs="Arial"/>
          <w:spacing w:val="-1"/>
          <w:sz w:val="20"/>
          <w:szCs w:val="20"/>
        </w:rPr>
        <w:t>rocedures</w:t>
      </w:r>
      <w:r w:rsidR="004F65AF" w:rsidRPr="00810505">
        <w:rPr>
          <w:rFonts w:ascii="Bookman Old Style" w:hAnsi="Bookman Old Style" w:cs="Arial"/>
          <w:spacing w:val="-7"/>
          <w:sz w:val="20"/>
          <w:szCs w:val="20"/>
        </w:rPr>
        <w:t xml:space="preserve"> </w:t>
      </w:r>
      <w:r w:rsidR="004F65AF" w:rsidRPr="00810505">
        <w:rPr>
          <w:rFonts w:ascii="Bookman Old Style" w:hAnsi="Bookman Old Style" w:cs="Arial"/>
          <w:sz w:val="20"/>
          <w:szCs w:val="20"/>
        </w:rPr>
        <w:t>for</w:t>
      </w:r>
      <w:r w:rsidR="004F65AF" w:rsidRPr="00810505">
        <w:rPr>
          <w:rFonts w:ascii="Bookman Old Style" w:hAnsi="Bookman Old Style" w:cs="Arial"/>
          <w:spacing w:val="-12"/>
          <w:sz w:val="20"/>
          <w:szCs w:val="20"/>
        </w:rPr>
        <w:t xml:space="preserve"> </w:t>
      </w:r>
      <w:r w:rsidR="004F65AF" w:rsidRPr="00810505">
        <w:rPr>
          <w:rFonts w:ascii="Bookman Old Style" w:hAnsi="Bookman Old Style" w:cs="Arial"/>
          <w:sz w:val="20"/>
          <w:szCs w:val="20"/>
        </w:rPr>
        <w:t>identifying</w:t>
      </w:r>
      <w:r w:rsidR="004F65AF" w:rsidRPr="00810505">
        <w:rPr>
          <w:rFonts w:ascii="Bookman Old Style" w:hAnsi="Bookman Old Style" w:cs="Arial"/>
          <w:spacing w:val="-9"/>
          <w:sz w:val="20"/>
          <w:szCs w:val="20"/>
        </w:rPr>
        <w:t xml:space="preserve"> </w:t>
      </w:r>
      <w:r w:rsidR="004F65AF" w:rsidRPr="00810505">
        <w:rPr>
          <w:rFonts w:ascii="Bookman Old Style" w:hAnsi="Bookman Old Style" w:cs="Arial"/>
          <w:sz w:val="20"/>
          <w:szCs w:val="20"/>
        </w:rPr>
        <w:t>the</w:t>
      </w:r>
      <w:r w:rsidR="004F65AF" w:rsidRPr="00810505">
        <w:rPr>
          <w:rFonts w:ascii="Bookman Old Style" w:hAnsi="Bookman Old Style" w:cs="Arial"/>
          <w:spacing w:val="-8"/>
          <w:sz w:val="20"/>
          <w:szCs w:val="20"/>
        </w:rPr>
        <w:t xml:space="preserve"> </w:t>
      </w:r>
      <w:r w:rsidR="004F65AF" w:rsidRPr="00810505">
        <w:rPr>
          <w:rFonts w:ascii="Bookman Old Style" w:hAnsi="Bookman Old Style" w:cs="Arial"/>
          <w:sz w:val="20"/>
          <w:szCs w:val="20"/>
        </w:rPr>
        <w:t>clients;</w:t>
      </w:r>
      <w:r w:rsidR="004F65AF" w:rsidRPr="00810505">
        <w:rPr>
          <w:rFonts w:ascii="Bookman Old Style" w:hAnsi="Bookman Old Style" w:cs="Arial"/>
          <w:spacing w:val="-9"/>
          <w:sz w:val="20"/>
          <w:szCs w:val="20"/>
        </w:rPr>
        <w:t xml:space="preserve"> </w:t>
      </w:r>
      <w:r w:rsidR="004F65AF" w:rsidRPr="00810505">
        <w:rPr>
          <w:rFonts w:ascii="Bookman Old Style" w:hAnsi="Bookman Old Style" w:cs="Arial"/>
          <w:sz w:val="20"/>
          <w:szCs w:val="20"/>
        </w:rPr>
        <w:t>and</w:t>
      </w:r>
    </w:p>
    <w:p w14:paraId="464ECDDF" w14:textId="28D347E7" w:rsidR="004F65AF" w:rsidRPr="00810505" w:rsidRDefault="004F65AF">
      <w:pPr>
        <w:pStyle w:val="TableParagraph"/>
        <w:numPr>
          <w:ilvl w:val="0"/>
          <w:numId w:val="18"/>
        </w:numPr>
        <w:tabs>
          <w:tab w:val="left" w:pos="-5942"/>
        </w:tabs>
        <w:spacing w:before="167" w:after="0" w:line="240" w:lineRule="auto"/>
        <w:ind w:right="77"/>
        <w:jc w:val="both"/>
        <w:rPr>
          <w:rFonts w:ascii="Bookman Old Style" w:hAnsi="Bookman Old Style" w:cs="Arial"/>
          <w:sz w:val="20"/>
          <w:szCs w:val="20"/>
        </w:rPr>
      </w:pPr>
      <w:r w:rsidRPr="00810505">
        <w:rPr>
          <w:rFonts w:ascii="Bookman Old Style" w:hAnsi="Bookman Old Style" w:cs="Arial"/>
          <w:sz w:val="20"/>
          <w:szCs w:val="20"/>
        </w:rPr>
        <w:t xml:space="preserve">Risk </w:t>
      </w:r>
      <w:r w:rsidR="00C44FC1" w:rsidRPr="00810505">
        <w:rPr>
          <w:rFonts w:ascii="Bookman Old Style" w:hAnsi="Bookman Old Style" w:cs="Arial"/>
          <w:sz w:val="20"/>
          <w:szCs w:val="20"/>
        </w:rPr>
        <w:t>Management.</w:t>
      </w:r>
    </w:p>
    <w:p w14:paraId="0652A2F8" w14:textId="396E9ACA" w:rsidR="0021360F" w:rsidRDefault="00C44FC1">
      <w:pPr>
        <w:numPr>
          <w:ilvl w:val="0"/>
          <w:numId w:val="18"/>
        </w:numPr>
        <w:jc w:val="both"/>
        <w:rPr>
          <w:rFonts w:ascii="Bookman Old Style" w:hAnsi="Bookman Old Style" w:cs="Arial"/>
        </w:rPr>
      </w:pPr>
      <w:r w:rsidRPr="00810505">
        <w:rPr>
          <w:rFonts w:ascii="Bookman Old Style" w:hAnsi="Bookman Old Style" w:cs="Arial"/>
        </w:rPr>
        <w:t>Transaction</w:t>
      </w:r>
      <w:r w:rsidR="004F65AF" w:rsidRPr="00810505">
        <w:rPr>
          <w:rFonts w:ascii="Bookman Old Style" w:hAnsi="Bookman Old Style" w:cs="Arial"/>
        </w:rPr>
        <w:t xml:space="preserve"> monitoring and </w:t>
      </w:r>
      <w:r w:rsidRPr="00810505">
        <w:rPr>
          <w:rFonts w:ascii="Bookman Old Style" w:hAnsi="Bookman Old Style" w:cs="Arial"/>
        </w:rPr>
        <w:t>reporting,</w:t>
      </w:r>
      <w:r w:rsidR="004F65AF" w:rsidRPr="00810505">
        <w:rPr>
          <w:rFonts w:ascii="Bookman Old Style" w:hAnsi="Bookman Old Style" w:cs="Arial"/>
        </w:rPr>
        <w:t xml:space="preserve"> especially Suspicious Transactions</w:t>
      </w:r>
      <w:r w:rsidR="004F65AF" w:rsidRPr="00810505">
        <w:rPr>
          <w:rFonts w:ascii="Bookman Old Style" w:hAnsi="Bookman Old Style" w:cs="Arial"/>
          <w:spacing w:val="-47"/>
        </w:rPr>
        <w:t xml:space="preserve"> </w:t>
      </w:r>
      <w:r w:rsidR="004F65AF" w:rsidRPr="00810505">
        <w:rPr>
          <w:rFonts w:ascii="Bookman Old Style" w:hAnsi="Bookman Old Style" w:cs="Arial"/>
        </w:rPr>
        <w:t>Reporting (STR).</w:t>
      </w:r>
    </w:p>
    <w:p w14:paraId="3C79B56F" w14:textId="2B5E06A1" w:rsidR="005B7FBE" w:rsidRPr="00810505" w:rsidRDefault="00030053" w:rsidP="00FC23D3">
      <w:pPr>
        <w:pStyle w:val="Heading1"/>
        <w:jc w:val="both"/>
        <w:rPr>
          <w:rFonts w:ascii="Bookman Old Style" w:hAnsi="Bookman Old Style" w:cs="Arial"/>
          <w:sz w:val="20"/>
          <w:szCs w:val="20"/>
        </w:rPr>
      </w:pPr>
      <w:bookmarkStart w:id="9" w:name="_Toc229159933"/>
      <w:r w:rsidRPr="00810505">
        <w:rPr>
          <w:rFonts w:ascii="Bookman Old Style" w:hAnsi="Bookman Old Style" w:cs="Arial"/>
          <w:sz w:val="20"/>
          <w:szCs w:val="20"/>
        </w:rPr>
        <w:t>Client Due Diligence (CDD) Procedures</w:t>
      </w:r>
      <w:bookmarkEnd w:id="9"/>
    </w:p>
    <w:p w14:paraId="76C18539" w14:textId="66D842CB" w:rsidR="00E313EE" w:rsidRPr="00810505" w:rsidRDefault="00E313EE" w:rsidP="00FC23D3">
      <w:pPr>
        <w:jc w:val="both"/>
        <w:rPr>
          <w:rFonts w:ascii="Bookman Old Style" w:hAnsi="Bookman Old Style" w:cs="Arial"/>
        </w:rPr>
      </w:pPr>
      <w:r w:rsidRPr="00810505">
        <w:rPr>
          <w:rFonts w:ascii="Bookman Old Style" w:hAnsi="Bookman Old Style" w:cs="Arial"/>
          <w:b/>
          <w:bCs/>
        </w:rPr>
        <w:t>Client Due Diligence (CDD)</w:t>
      </w:r>
      <w:r w:rsidRPr="00810505">
        <w:rPr>
          <w:rFonts w:ascii="Bookman Old Style" w:hAnsi="Bookman Old Style" w:cs="Arial"/>
        </w:rPr>
        <w:t xml:space="preserve"> refers to the process of conducting necessary checks on a client to ensure they are not involved in money laundering or terrorist financing activities. These checks are carried out using reliable and independent sources of information, and the procedures aim to identify the true beneficial owners of the client and/or account holder.</w:t>
      </w:r>
    </w:p>
    <w:p w14:paraId="7920C6A0" w14:textId="2A7563D7" w:rsidR="00E313EE"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E313EE" w:rsidRPr="00810505">
        <w:rPr>
          <w:rFonts w:ascii="Bookman Old Style" w:hAnsi="Bookman Old Style" w:cs="Arial"/>
        </w:rPr>
        <w:t>’s CDD measures are designed to manage and mitigate the risks of ML and TF, considering the nature of the client, the risk profile, and the size of the business relationship</w:t>
      </w:r>
      <w:r w:rsidR="00581193" w:rsidRPr="00810505">
        <w:rPr>
          <w:rFonts w:ascii="Bookman Old Style" w:hAnsi="Bookman Old Style" w:cs="Arial"/>
        </w:rPr>
        <w:t xml:space="preserve">, approved by the senior management. </w:t>
      </w:r>
      <w:r w:rsidR="00E313EE" w:rsidRPr="00810505">
        <w:rPr>
          <w:rFonts w:ascii="Bookman Old Style" w:hAnsi="Bookman Old Style" w:cs="Arial"/>
        </w:rPr>
        <w:t>These measures include the following components:</w:t>
      </w:r>
    </w:p>
    <w:p w14:paraId="7970F01E"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Obtaining Sufficient Information</w:t>
      </w:r>
    </w:p>
    <w:p w14:paraId="7CB8A2CF" w14:textId="068092CD" w:rsidR="00E313EE" w:rsidRPr="00810505" w:rsidRDefault="002E7AC9" w:rsidP="00FC23D3">
      <w:pPr>
        <w:numPr>
          <w:ilvl w:val="1"/>
          <w:numId w:val="1"/>
        </w:numPr>
        <w:jc w:val="both"/>
        <w:rPr>
          <w:rFonts w:ascii="Bookman Old Style" w:hAnsi="Bookman Old Style" w:cs="Arial"/>
        </w:rPr>
      </w:pPr>
      <w:r w:rsidRPr="00810505">
        <w:rPr>
          <w:rFonts w:ascii="Bookman Old Style" w:hAnsi="Bookman Old Style" w:cs="Arial"/>
        </w:rPr>
        <w:t>Portfolio Manager</w:t>
      </w:r>
      <w:r w:rsidR="00E313EE" w:rsidRPr="00810505">
        <w:rPr>
          <w:rFonts w:ascii="Bookman Old Style" w:hAnsi="Bookman Old Style" w:cs="Arial"/>
        </w:rPr>
        <w:t xml:space="preserve"> shall obtain sufficient and reliable information to identify all parties involved in the ownership or control of a securities account.</w:t>
      </w:r>
    </w:p>
    <w:p w14:paraId="524ADF67" w14:textId="7C917EB1"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lastRenderedPageBreak/>
        <w:t>If the securities are beneficially owned by a party other than the client, that party shall be identified and verified using reliable sources</w:t>
      </w:r>
      <w:r w:rsidR="00136D49" w:rsidRPr="00810505">
        <w:rPr>
          <w:rFonts w:ascii="Bookman Old Style" w:hAnsi="Bookman Old Style" w:cs="Arial"/>
        </w:rPr>
        <w:t>, it also inc</w:t>
      </w:r>
      <w:r w:rsidR="00DB3AC2" w:rsidRPr="00810505">
        <w:rPr>
          <w:rFonts w:ascii="Bookman Old Style" w:hAnsi="Bookman Old Style" w:cs="Arial"/>
        </w:rPr>
        <w:t xml:space="preserve">orporates </w:t>
      </w:r>
      <w:r w:rsidR="0040676D" w:rsidRPr="00810505">
        <w:rPr>
          <w:rFonts w:ascii="Bookman Old Style" w:hAnsi="Bookman Old Style" w:cs="Arial"/>
        </w:rPr>
        <w:t>those persons</w:t>
      </w:r>
      <w:r w:rsidR="00DB3AC2" w:rsidRPr="00810505">
        <w:rPr>
          <w:rFonts w:ascii="Bookman Old Style" w:hAnsi="Bookman Old Style" w:cs="Arial"/>
        </w:rPr>
        <w:t xml:space="preserve"> who exercise ultimate effective </w:t>
      </w:r>
      <w:r w:rsidR="00B93CA7" w:rsidRPr="00810505">
        <w:rPr>
          <w:rFonts w:ascii="Bookman Old Style" w:hAnsi="Bookman Old Style" w:cs="Arial"/>
        </w:rPr>
        <w:t>control over a legal person or arrangement.</w:t>
      </w:r>
    </w:p>
    <w:p w14:paraId="1D69442B"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Verification of Client Identity</w:t>
      </w:r>
    </w:p>
    <w:p w14:paraId="6A68DF9D" w14:textId="5E56D6D0" w:rsidR="00E313EE" w:rsidRPr="00810505" w:rsidRDefault="002E7AC9" w:rsidP="00FC23D3">
      <w:pPr>
        <w:numPr>
          <w:ilvl w:val="1"/>
          <w:numId w:val="1"/>
        </w:numPr>
        <w:jc w:val="both"/>
        <w:rPr>
          <w:rFonts w:ascii="Bookman Old Style" w:hAnsi="Bookman Old Style" w:cs="Arial"/>
        </w:rPr>
      </w:pPr>
      <w:r w:rsidRPr="00810505">
        <w:rPr>
          <w:rFonts w:ascii="Bookman Old Style" w:hAnsi="Bookman Old Style" w:cs="Arial"/>
        </w:rPr>
        <w:t>Portfolio Manager</w:t>
      </w:r>
      <w:r w:rsidR="00E313EE" w:rsidRPr="00810505">
        <w:rPr>
          <w:rFonts w:ascii="Bookman Old Style" w:hAnsi="Bookman Old Style" w:cs="Arial"/>
        </w:rPr>
        <w:t xml:space="preserve"> will verify the identity of the client using reliable and independent sources, including official documents and data.</w:t>
      </w:r>
    </w:p>
    <w:p w14:paraId="54577A80" w14:textId="5DBBB8CB"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t xml:space="preserve">In cases where the client is acting on behalf of a juridical person (such as a company, or partnership), </w:t>
      </w:r>
      <w:r w:rsidR="002E7AC9" w:rsidRPr="00810505">
        <w:rPr>
          <w:rFonts w:ascii="Bookman Old Style" w:hAnsi="Bookman Old Style" w:cs="Arial"/>
        </w:rPr>
        <w:t>Portfolio Manager</w:t>
      </w:r>
      <w:r w:rsidRPr="00810505">
        <w:rPr>
          <w:rFonts w:ascii="Bookman Old Style" w:hAnsi="Bookman Old Style" w:cs="Arial"/>
        </w:rPr>
        <w:t xml:space="preserve"> will verify the identity of the authorized person and their authority to act on behalf of the client.</w:t>
      </w:r>
      <w:r w:rsidR="00516F6B" w:rsidRPr="00810505">
        <w:rPr>
          <w:rFonts w:ascii="Bookman Old Style" w:hAnsi="Bookman Old Style" w:cs="Arial"/>
        </w:rPr>
        <w:t xml:space="preserve"> Provided that in case of trust, the reporting entity shall ensure that </w:t>
      </w:r>
      <w:r w:rsidR="00C44FC1" w:rsidRPr="00810505">
        <w:rPr>
          <w:rFonts w:ascii="Bookman Old Style" w:hAnsi="Bookman Old Style" w:cs="Arial"/>
        </w:rPr>
        <w:t>trustees</w:t>
      </w:r>
      <w:r w:rsidR="00516F6B" w:rsidRPr="00810505">
        <w:rPr>
          <w:rFonts w:ascii="Bookman Old Style" w:hAnsi="Bookman Old Style" w:cs="Arial"/>
        </w:rPr>
        <w:t xml:space="preserve"> disclose their status at the time of commencement of an account-based relationship.</w:t>
      </w:r>
    </w:p>
    <w:p w14:paraId="3B0372FE"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Identifying Beneficial Ownership</w:t>
      </w:r>
    </w:p>
    <w:p w14:paraId="0E5F42BC" w14:textId="2F93BC5F" w:rsidR="00E313EE" w:rsidRPr="00810505" w:rsidRDefault="00A77A8E" w:rsidP="00FC23D3">
      <w:pPr>
        <w:numPr>
          <w:ilvl w:val="1"/>
          <w:numId w:val="1"/>
        </w:numPr>
        <w:jc w:val="both"/>
        <w:rPr>
          <w:rFonts w:ascii="Bookman Old Style" w:hAnsi="Bookman Old Style" w:cs="Arial"/>
        </w:rPr>
      </w:pPr>
      <w:r w:rsidRPr="00810505">
        <w:rPr>
          <w:rFonts w:ascii="Bookman Old Style" w:hAnsi="Bookman Old Style" w:cs="Arial"/>
        </w:rPr>
        <w:t>The beneficial owner is the individual(s) who ultimately owns or controls a client and/or is on whose behalf a transaction is conducted. The beneficial ownership shall be determined in accordance with the following categories:</w:t>
      </w:r>
    </w:p>
    <w:p w14:paraId="4435F2AC" w14:textId="5A3F384D" w:rsidR="007F058E" w:rsidRPr="00810505" w:rsidRDefault="007F058E" w:rsidP="00FC23D3">
      <w:pPr>
        <w:spacing w:beforeAutospacing="1" w:after="100" w:afterAutospacing="1" w:line="240" w:lineRule="auto"/>
        <w:ind w:left="450"/>
        <w:jc w:val="both"/>
        <w:rPr>
          <w:rFonts w:ascii="Bookman Old Style" w:eastAsia="Times New Roman" w:hAnsi="Bookman Old Style" w:cs="Arial"/>
        </w:rPr>
      </w:pPr>
      <w:r w:rsidRPr="00810505">
        <w:rPr>
          <w:rFonts w:ascii="Bookman Old Style" w:eastAsia="Times New Roman" w:hAnsi="Bookman Old Style" w:cs="Arial"/>
          <w:b/>
          <w:bCs/>
        </w:rPr>
        <w:t>a) Company:</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If the client is a company, the beneficial owner is the natural person(s) who, whether acting alone or together, or through one or more juridical person(s), has a controlling ownership interest or exercises control through other means.</w:t>
      </w:r>
    </w:p>
    <w:p w14:paraId="64AB8DEB" w14:textId="77777777" w:rsidR="007F058E" w:rsidRPr="00810505" w:rsidRDefault="007F058E" w:rsidP="00FC23D3">
      <w:pPr>
        <w:spacing w:beforeAutospacing="1" w:after="100" w:afterAutospacing="1" w:line="240" w:lineRule="auto"/>
        <w:ind w:left="720"/>
        <w:jc w:val="both"/>
        <w:rPr>
          <w:rFonts w:ascii="Bookman Old Style" w:eastAsia="Times New Roman" w:hAnsi="Bookman Old Style" w:cs="Arial"/>
        </w:rPr>
      </w:pPr>
      <w:r w:rsidRPr="00810505">
        <w:rPr>
          <w:rFonts w:ascii="Bookman Old Style" w:eastAsia="Times New Roman" w:hAnsi="Bookman Old Style" w:cs="Arial"/>
          <w:b/>
          <w:bCs/>
        </w:rPr>
        <w:t>Explanation:</w:t>
      </w:r>
    </w:p>
    <w:p w14:paraId="24705D9E" w14:textId="77777777" w:rsidR="007F058E" w:rsidRPr="00810505" w:rsidRDefault="007F058E" w:rsidP="00FC23D3">
      <w:pPr>
        <w:numPr>
          <w:ilvl w:val="2"/>
          <w:numId w:val="1"/>
        </w:numPr>
        <w:spacing w:beforeAutospacing="1" w:after="100" w:afterAutospacing="1" w:line="240" w:lineRule="auto"/>
        <w:jc w:val="both"/>
        <w:rPr>
          <w:rFonts w:ascii="Bookman Old Style" w:eastAsia="Times New Roman" w:hAnsi="Bookman Old Style" w:cs="Arial"/>
        </w:rPr>
      </w:pPr>
      <w:r w:rsidRPr="00810505">
        <w:rPr>
          <w:rFonts w:ascii="Bookman Old Style" w:eastAsia="Times New Roman" w:hAnsi="Bookman Old Style" w:cs="Arial"/>
          <w:i/>
          <w:iCs/>
        </w:rPr>
        <w:t>Controlling Ownership Interest</w:t>
      </w:r>
      <w:r w:rsidRPr="00810505">
        <w:rPr>
          <w:rFonts w:ascii="Bookman Old Style" w:eastAsia="Times New Roman" w:hAnsi="Bookman Old Style" w:cs="Arial"/>
        </w:rPr>
        <w:t>: This refers to ownership of or entitlement to more than ten percent (10%) of the shares, capital, or profits of the company.</w:t>
      </w:r>
    </w:p>
    <w:p w14:paraId="05C449CC" w14:textId="6DEC8378" w:rsidR="007F058E" w:rsidRPr="00810505" w:rsidRDefault="007F058E" w:rsidP="00FC23D3">
      <w:pPr>
        <w:numPr>
          <w:ilvl w:val="2"/>
          <w:numId w:val="1"/>
        </w:numPr>
        <w:spacing w:beforeAutospacing="1" w:after="100" w:afterAutospacing="1" w:line="240" w:lineRule="auto"/>
        <w:jc w:val="both"/>
        <w:rPr>
          <w:rFonts w:ascii="Bookman Old Style" w:eastAsia="Times New Roman" w:hAnsi="Bookman Old Style" w:cs="Arial"/>
        </w:rPr>
      </w:pPr>
      <w:r w:rsidRPr="00810505">
        <w:rPr>
          <w:rFonts w:ascii="Bookman Old Style" w:eastAsia="Times New Roman" w:hAnsi="Bookman Old Style" w:cs="Arial"/>
          <w:i/>
          <w:iCs/>
        </w:rPr>
        <w:t>Control</w:t>
      </w:r>
      <w:r w:rsidRPr="00810505">
        <w:rPr>
          <w:rFonts w:ascii="Bookman Old Style" w:eastAsia="Times New Roman" w:hAnsi="Bookman Old Style" w:cs="Arial"/>
        </w:rPr>
        <w:t>: This includes the right to appoint a majority of directors, or to control the management or policy decisions of the company.</w:t>
      </w:r>
      <w:r w:rsidR="001114F9" w:rsidRPr="00810505">
        <w:rPr>
          <w:rFonts w:ascii="Bookman Old Style" w:eastAsia="Times New Roman" w:hAnsi="Bookman Old Style" w:cs="Arial"/>
        </w:rPr>
        <w:t xml:space="preserve"> </w:t>
      </w:r>
      <w:r w:rsidRPr="00810505">
        <w:rPr>
          <w:rFonts w:ascii="Bookman Old Style" w:eastAsia="Times New Roman" w:hAnsi="Bookman Old Style" w:cs="Arial"/>
        </w:rPr>
        <w:t>This can occur through shareholding, management rights, shareholder agreements, or voting agreements.</w:t>
      </w:r>
    </w:p>
    <w:p w14:paraId="4F10032C" w14:textId="466EA793"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t>b)</w:t>
      </w:r>
      <w:r w:rsidR="002D7AD0" w:rsidRPr="00810505">
        <w:rPr>
          <w:rFonts w:ascii="Bookman Old Style" w:eastAsia="Times New Roman" w:hAnsi="Bookman Old Style" w:cs="Arial"/>
          <w:b/>
          <w:bCs/>
        </w:rPr>
        <w:t xml:space="preserve"> </w:t>
      </w:r>
      <w:r w:rsidRPr="00810505">
        <w:rPr>
          <w:rFonts w:ascii="Bookman Old Style" w:eastAsia="Times New Roman" w:hAnsi="Bookman Old Style" w:cs="Arial"/>
          <w:b/>
          <w:bCs/>
        </w:rPr>
        <w:t>Partnership Firm:</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If the client is a partnership firm, the beneficial owner is the natural person(s) who has ownership of or entitlement to more than ten percent (10%) of the capital or profits of the partnership, or who exercises control through other means.</w:t>
      </w:r>
    </w:p>
    <w:p w14:paraId="3456835B" w14:textId="77777777" w:rsidR="007F058E" w:rsidRPr="00810505" w:rsidRDefault="007F058E" w:rsidP="00FC23D3">
      <w:pPr>
        <w:spacing w:beforeAutospacing="1" w:after="100" w:afterAutospacing="1" w:line="240" w:lineRule="auto"/>
        <w:ind w:left="720"/>
        <w:jc w:val="both"/>
        <w:rPr>
          <w:rFonts w:ascii="Bookman Old Style" w:eastAsia="Times New Roman" w:hAnsi="Bookman Old Style" w:cs="Arial"/>
        </w:rPr>
      </w:pPr>
      <w:r w:rsidRPr="00810505">
        <w:rPr>
          <w:rFonts w:ascii="Bookman Old Style" w:eastAsia="Times New Roman" w:hAnsi="Bookman Old Style" w:cs="Arial"/>
          <w:b/>
          <w:bCs/>
        </w:rPr>
        <w:t>Explanation:</w:t>
      </w:r>
    </w:p>
    <w:p w14:paraId="75FA01C3" w14:textId="77777777" w:rsidR="007F058E" w:rsidRPr="00810505" w:rsidRDefault="007F058E" w:rsidP="00FC23D3">
      <w:pPr>
        <w:numPr>
          <w:ilvl w:val="2"/>
          <w:numId w:val="1"/>
        </w:numPr>
        <w:spacing w:beforeAutospacing="1" w:after="100" w:afterAutospacing="1" w:line="240" w:lineRule="auto"/>
        <w:jc w:val="both"/>
        <w:rPr>
          <w:rFonts w:ascii="Bookman Old Style" w:eastAsia="Times New Roman" w:hAnsi="Bookman Old Style" w:cs="Arial"/>
        </w:rPr>
      </w:pPr>
      <w:r w:rsidRPr="00810505">
        <w:rPr>
          <w:rFonts w:ascii="Bookman Old Style" w:eastAsia="Times New Roman" w:hAnsi="Bookman Old Style" w:cs="Arial"/>
          <w:i/>
          <w:iCs/>
        </w:rPr>
        <w:t>Control</w:t>
      </w:r>
      <w:r w:rsidRPr="00810505">
        <w:rPr>
          <w:rFonts w:ascii="Bookman Old Style" w:eastAsia="Times New Roman" w:hAnsi="Bookman Old Style" w:cs="Arial"/>
        </w:rPr>
        <w:t>: This refers to the right to control the management or policy decisions of the partnership.</w:t>
      </w:r>
    </w:p>
    <w:p w14:paraId="2FE8E0EC" w14:textId="39686E50"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t>c)</w:t>
      </w:r>
      <w:r w:rsidR="002D7AD0" w:rsidRPr="00810505">
        <w:rPr>
          <w:rFonts w:ascii="Bookman Old Style" w:eastAsia="Times New Roman" w:hAnsi="Bookman Old Style" w:cs="Arial"/>
          <w:b/>
          <w:bCs/>
        </w:rPr>
        <w:t xml:space="preserve"> </w:t>
      </w:r>
      <w:r w:rsidRPr="00810505">
        <w:rPr>
          <w:rFonts w:ascii="Bookman Old Style" w:eastAsia="Times New Roman" w:hAnsi="Bookman Old Style" w:cs="Arial"/>
          <w:b/>
          <w:bCs/>
        </w:rPr>
        <w:t>Unincorporated Association or Body of Individuals:</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If the client is an unincorporated association or body of individuals, the beneficial owner is the natural person(s) who has ownership of or entitlement to more than fifteen percent (15%) of the property, capital, or profits of such association or body of individuals.</w:t>
      </w:r>
    </w:p>
    <w:p w14:paraId="4B34802D" w14:textId="272A0A7A"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t>d) Senior Managing Official:</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If no natural person is identified as the beneficial owner under the categories (a), (b), or (c), the beneficial owner shall be the relevant natural person who holds the position of senior managing official within the entity.</w:t>
      </w:r>
    </w:p>
    <w:p w14:paraId="264A3454" w14:textId="2003DD2D"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lastRenderedPageBreak/>
        <w:t>e) Trust:</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In the case of a trust, identification of the beneficial owner(s) shall include the identification of the following individuals:</w:t>
      </w:r>
    </w:p>
    <w:p w14:paraId="07C651E3" w14:textId="77777777" w:rsidR="007F058E" w:rsidRPr="00810505" w:rsidRDefault="007F058E" w:rsidP="00A36C2C">
      <w:pPr>
        <w:numPr>
          <w:ilvl w:val="2"/>
          <w:numId w:val="1"/>
        </w:numPr>
        <w:tabs>
          <w:tab w:val="clear" w:pos="1440"/>
        </w:tabs>
        <w:spacing w:beforeAutospacing="1" w:after="100" w:afterAutospacing="1" w:line="240" w:lineRule="auto"/>
        <w:ind w:left="993"/>
        <w:jc w:val="both"/>
        <w:rPr>
          <w:rFonts w:ascii="Bookman Old Style" w:eastAsia="Times New Roman" w:hAnsi="Bookman Old Style" w:cs="Arial"/>
        </w:rPr>
      </w:pPr>
      <w:r w:rsidRPr="00810505">
        <w:rPr>
          <w:rFonts w:ascii="Bookman Old Style" w:eastAsia="Times New Roman" w:hAnsi="Bookman Old Style" w:cs="Arial"/>
        </w:rPr>
        <w:t>The author (settlor) of the trust.</w:t>
      </w:r>
    </w:p>
    <w:p w14:paraId="5E401CFF" w14:textId="77777777" w:rsidR="007F058E" w:rsidRPr="00810505" w:rsidRDefault="007F058E" w:rsidP="00A36C2C">
      <w:pPr>
        <w:numPr>
          <w:ilvl w:val="2"/>
          <w:numId w:val="1"/>
        </w:numPr>
        <w:tabs>
          <w:tab w:val="clear" w:pos="1440"/>
        </w:tabs>
        <w:spacing w:beforeAutospacing="1" w:after="100" w:afterAutospacing="1" w:line="240" w:lineRule="auto"/>
        <w:ind w:left="993"/>
        <w:jc w:val="both"/>
        <w:rPr>
          <w:rFonts w:ascii="Bookman Old Style" w:eastAsia="Times New Roman" w:hAnsi="Bookman Old Style" w:cs="Arial"/>
        </w:rPr>
      </w:pPr>
      <w:r w:rsidRPr="00810505">
        <w:rPr>
          <w:rFonts w:ascii="Bookman Old Style" w:eastAsia="Times New Roman" w:hAnsi="Bookman Old Style" w:cs="Arial"/>
        </w:rPr>
        <w:t>The trustee(s).</w:t>
      </w:r>
    </w:p>
    <w:p w14:paraId="5CA550EE" w14:textId="77777777" w:rsidR="007F058E" w:rsidRPr="00810505" w:rsidRDefault="007F058E" w:rsidP="00A36C2C">
      <w:pPr>
        <w:numPr>
          <w:ilvl w:val="2"/>
          <w:numId w:val="1"/>
        </w:numPr>
        <w:tabs>
          <w:tab w:val="clear" w:pos="1440"/>
        </w:tabs>
        <w:spacing w:beforeAutospacing="1" w:after="100" w:afterAutospacing="1" w:line="240" w:lineRule="auto"/>
        <w:ind w:left="993"/>
        <w:jc w:val="both"/>
        <w:rPr>
          <w:rFonts w:ascii="Bookman Old Style" w:eastAsia="Times New Roman" w:hAnsi="Bookman Old Style" w:cs="Arial"/>
        </w:rPr>
      </w:pPr>
      <w:r w:rsidRPr="00810505">
        <w:rPr>
          <w:rFonts w:ascii="Bookman Old Style" w:eastAsia="Times New Roman" w:hAnsi="Bookman Old Style" w:cs="Arial"/>
        </w:rPr>
        <w:t>Beneficiaries with ten percent (10%) or more interest in the trust.</w:t>
      </w:r>
    </w:p>
    <w:p w14:paraId="4D1EA2B0" w14:textId="77777777" w:rsidR="007F058E" w:rsidRPr="00810505" w:rsidRDefault="007F058E" w:rsidP="00A36C2C">
      <w:pPr>
        <w:numPr>
          <w:ilvl w:val="2"/>
          <w:numId w:val="1"/>
        </w:numPr>
        <w:tabs>
          <w:tab w:val="clear" w:pos="1440"/>
        </w:tabs>
        <w:spacing w:beforeAutospacing="1" w:after="100" w:afterAutospacing="1" w:line="240" w:lineRule="auto"/>
        <w:ind w:left="993"/>
        <w:jc w:val="both"/>
        <w:rPr>
          <w:rFonts w:ascii="Bookman Old Style" w:eastAsia="Times New Roman" w:hAnsi="Bookman Old Style" w:cs="Arial"/>
        </w:rPr>
      </w:pPr>
      <w:r w:rsidRPr="00810505">
        <w:rPr>
          <w:rFonts w:ascii="Bookman Old Style" w:eastAsia="Times New Roman" w:hAnsi="Bookman Old Style" w:cs="Arial"/>
        </w:rPr>
        <w:t>Any natural person exercising ultimate effective control over the trust through a chain of control or ownership, including the protector.</w:t>
      </w:r>
    </w:p>
    <w:p w14:paraId="51964156" w14:textId="23FDA181"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t>f) Listed Entities:</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If the client or the entity with the controlling interest is listed on a stock exchange in India or is a subsidiary of such a listed entity, or if it is an entity resident in jurisdictions notified by the Central Government and listed on stock exchanges in such jurisdictions, it is not necessary to identify and verify the identity of any shareholder or beneficial owner of such entities.</w:t>
      </w:r>
    </w:p>
    <w:p w14:paraId="0B4E37A7" w14:textId="4B481175" w:rsidR="007F058E" w:rsidRPr="00810505" w:rsidRDefault="007F058E" w:rsidP="003671B4">
      <w:pPr>
        <w:spacing w:beforeAutospacing="1" w:after="100" w:afterAutospacing="1" w:line="240" w:lineRule="auto"/>
        <w:ind w:left="426"/>
        <w:jc w:val="both"/>
        <w:rPr>
          <w:rFonts w:ascii="Bookman Old Style" w:eastAsia="Times New Roman" w:hAnsi="Bookman Old Style" w:cs="Arial"/>
        </w:rPr>
      </w:pPr>
      <w:r w:rsidRPr="00810505">
        <w:rPr>
          <w:rFonts w:ascii="Bookman Old Style" w:eastAsia="Times New Roman" w:hAnsi="Bookman Old Style" w:cs="Arial"/>
          <w:b/>
          <w:bCs/>
        </w:rPr>
        <w:t>g) Applicability for Foreign Investors:</w:t>
      </w:r>
      <w:r w:rsidR="0096668A" w:rsidRPr="00810505">
        <w:rPr>
          <w:rFonts w:ascii="Bookman Old Style" w:eastAsia="Times New Roman" w:hAnsi="Bookman Old Style" w:cs="Arial"/>
        </w:rPr>
        <w:t xml:space="preserve"> </w:t>
      </w:r>
      <w:r w:rsidRPr="00810505">
        <w:rPr>
          <w:rFonts w:ascii="Bookman Old Style" w:eastAsia="Times New Roman" w:hAnsi="Bookman Old Style" w:cs="Arial"/>
        </w:rPr>
        <w:t>Registered intermediaries dealing with foreign investors are required to adhere to the guidelines provided in the SEBI Master Circular SEBI/HO/AFD-2/CIR/P/2022/175 dated December 19, 2022, and any amendments thereto, for the identification of beneficial ownership</w:t>
      </w:r>
      <w:r w:rsidR="003465C6" w:rsidRPr="00810505">
        <w:rPr>
          <w:rFonts w:ascii="Bookman Old Style" w:eastAsia="Times New Roman" w:hAnsi="Bookman Old Style" w:cs="Arial"/>
        </w:rPr>
        <w:t xml:space="preserve"> of the client</w:t>
      </w:r>
      <w:r w:rsidRPr="00810505">
        <w:rPr>
          <w:rFonts w:ascii="Bookman Old Style" w:eastAsia="Times New Roman" w:hAnsi="Bookman Old Style" w:cs="Arial"/>
        </w:rPr>
        <w:t>.</w:t>
      </w:r>
    </w:p>
    <w:p w14:paraId="07B1E774"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Verification of Beneficial Ownership</w:t>
      </w:r>
    </w:p>
    <w:p w14:paraId="51C7DAF1" w14:textId="69002282" w:rsidR="006B27CC" w:rsidRPr="006B27CC" w:rsidRDefault="00E313EE" w:rsidP="006B27CC">
      <w:pPr>
        <w:numPr>
          <w:ilvl w:val="1"/>
          <w:numId w:val="1"/>
        </w:numPr>
        <w:jc w:val="both"/>
        <w:rPr>
          <w:rFonts w:ascii="Bookman Old Style" w:hAnsi="Bookman Old Style" w:cs="Arial"/>
        </w:rPr>
      </w:pPr>
      <w:r w:rsidRPr="00810505">
        <w:rPr>
          <w:rFonts w:ascii="Bookman Old Style" w:hAnsi="Bookman Old Style" w:cs="Arial"/>
        </w:rPr>
        <w:t>The beneficial owner shall be verified through corroborated sources, and ongoing due diligence will be performed to ensure that the transactions align with the client’s knowledge, business, and risk profile.</w:t>
      </w:r>
    </w:p>
    <w:p w14:paraId="26A607DE"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Understanding Client’s Business and Ownership Structure</w:t>
      </w:r>
    </w:p>
    <w:p w14:paraId="4A888E5D" w14:textId="5D4955AE" w:rsidR="00E313EE" w:rsidRPr="00810505" w:rsidRDefault="002E7AC9" w:rsidP="00FC23D3">
      <w:pPr>
        <w:numPr>
          <w:ilvl w:val="1"/>
          <w:numId w:val="1"/>
        </w:numPr>
        <w:jc w:val="both"/>
        <w:rPr>
          <w:rFonts w:ascii="Bookman Old Style" w:hAnsi="Bookman Old Style" w:cs="Arial"/>
        </w:rPr>
      </w:pPr>
      <w:r w:rsidRPr="00810505">
        <w:rPr>
          <w:rFonts w:ascii="Bookman Old Style" w:hAnsi="Bookman Old Style" w:cs="Arial"/>
        </w:rPr>
        <w:t>Portfolio Manager</w:t>
      </w:r>
      <w:r w:rsidR="00E313EE" w:rsidRPr="00810505">
        <w:rPr>
          <w:rFonts w:ascii="Bookman Old Style" w:hAnsi="Bookman Old Style" w:cs="Arial"/>
        </w:rPr>
        <w:t xml:space="preserve"> will ensure that it fully understands the nature of the client’s business, ownership structure,</w:t>
      </w:r>
      <w:r w:rsidR="001F7A3B" w:rsidRPr="00810505">
        <w:rPr>
          <w:rFonts w:ascii="Bookman Old Style" w:hAnsi="Bookman Old Style" w:cs="Arial"/>
        </w:rPr>
        <w:t xml:space="preserve"> control structure</w:t>
      </w:r>
      <w:r w:rsidR="00E313EE" w:rsidRPr="00810505">
        <w:rPr>
          <w:rFonts w:ascii="Bookman Old Style" w:hAnsi="Bookman Old Style" w:cs="Arial"/>
        </w:rPr>
        <w:t xml:space="preserve"> and any relevant relationships to prevent potential risks associated with ML/TF.</w:t>
      </w:r>
    </w:p>
    <w:p w14:paraId="73CA60E5"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Ongoing Due Diligence and Scrutiny</w:t>
      </w:r>
    </w:p>
    <w:p w14:paraId="35F42C99" w14:textId="77777777"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t>Continuous monitoring of client transactions and accounts will be conducted to ensure that they are consistent with the client’s risk profile and business activities.</w:t>
      </w:r>
    </w:p>
    <w:p w14:paraId="735FC9B6" w14:textId="77777777"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t>Suspicious transactions or activities will be flagged, and the CDD process will be reviewed if there are concerns regarding potential money laundering or terrorist financing.</w:t>
      </w:r>
    </w:p>
    <w:p w14:paraId="3CCA4D0B"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Periodic Updating of Client Information</w:t>
      </w:r>
    </w:p>
    <w:p w14:paraId="37FA77A3" w14:textId="0F1CBEB9" w:rsidR="00E313EE" w:rsidRPr="00810505" w:rsidRDefault="002E7AC9" w:rsidP="00FC23D3">
      <w:pPr>
        <w:numPr>
          <w:ilvl w:val="1"/>
          <w:numId w:val="1"/>
        </w:numPr>
        <w:jc w:val="both"/>
        <w:rPr>
          <w:rFonts w:ascii="Bookman Old Style" w:hAnsi="Bookman Old Style" w:cs="Arial"/>
        </w:rPr>
      </w:pPr>
      <w:r w:rsidRPr="00810505">
        <w:rPr>
          <w:rFonts w:ascii="Bookman Old Style" w:hAnsi="Bookman Old Style" w:cs="Arial"/>
        </w:rPr>
        <w:t>Portfolio Manager</w:t>
      </w:r>
      <w:r w:rsidR="00E313EE" w:rsidRPr="00810505">
        <w:rPr>
          <w:rFonts w:ascii="Bookman Old Style" w:hAnsi="Bookman Old Style" w:cs="Arial"/>
        </w:rPr>
        <w:t xml:space="preserve"> will periodically review and update the information and documentation collected during the CDD process to ensure that it remains accurate and relevant, especially for high-risk clients.</w:t>
      </w:r>
    </w:p>
    <w:p w14:paraId="1ECC7D7C" w14:textId="00B953C7"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t>Updates will also be made in situations where doubts arise about the adequacy or authenticity of previous client information.</w:t>
      </w:r>
    </w:p>
    <w:p w14:paraId="2694D5E2" w14:textId="77777777" w:rsidR="00B42A80" w:rsidRDefault="00B42A80" w:rsidP="00FC23D3">
      <w:pPr>
        <w:ind w:left="450"/>
        <w:jc w:val="both"/>
        <w:rPr>
          <w:rFonts w:ascii="Bookman Old Style" w:hAnsi="Bookman Old Style" w:cs="Arial"/>
          <w:b/>
          <w:bCs/>
        </w:rPr>
      </w:pPr>
    </w:p>
    <w:p w14:paraId="013349F1" w14:textId="77777777" w:rsidR="00B42A80" w:rsidRDefault="00B42A80" w:rsidP="00FC23D3">
      <w:pPr>
        <w:ind w:left="450"/>
        <w:jc w:val="both"/>
        <w:rPr>
          <w:rFonts w:cs="Arial"/>
          <w:b/>
          <w:bCs/>
        </w:rPr>
      </w:pPr>
    </w:p>
    <w:p w14:paraId="37796772" w14:textId="36DE175E" w:rsidR="00A26A20" w:rsidRPr="00726E01" w:rsidRDefault="00E85804" w:rsidP="00FC23D3">
      <w:pPr>
        <w:ind w:left="450"/>
        <w:jc w:val="both"/>
        <w:rPr>
          <w:rFonts w:ascii="Bookman Old Style" w:hAnsi="Bookman Old Style" w:cs="Arial"/>
          <w:b/>
          <w:bCs/>
        </w:rPr>
      </w:pPr>
      <w:r w:rsidRPr="00726E01">
        <w:rPr>
          <w:rFonts w:ascii="Bookman Old Style" w:hAnsi="Bookman Old Style" w:cs="Arial"/>
          <w:b/>
          <w:bCs/>
        </w:rPr>
        <w:t>CDD Review Timelines:</w:t>
      </w:r>
    </w:p>
    <w:tbl>
      <w:tblPr>
        <w:tblW w:w="0" w:type="auto"/>
        <w:tblCellSpacing w:w="15" w:type="dxa"/>
        <w:tblInd w:w="2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305"/>
      </w:tblGrid>
      <w:tr w:rsidR="00E85804" w:rsidRPr="00726E01" w14:paraId="632E0780" w14:textId="77777777" w:rsidTr="00E85804">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5E68E6" w14:textId="77777777" w:rsidR="00E85804" w:rsidRPr="00726E01" w:rsidRDefault="00E85804" w:rsidP="00A36C2C">
            <w:pPr>
              <w:ind w:left="450" w:right="231"/>
              <w:jc w:val="center"/>
              <w:rPr>
                <w:rFonts w:ascii="Bookman Old Style" w:hAnsi="Bookman Old Style" w:cs="Arial"/>
                <w:b/>
                <w:bCs/>
                <w:lang w:val="en-IN"/>
              </w:rPr>
            </w:pPr>
            <w:r w:rsidRPr="00726E01">
              <w:rPr>
                <w:rFonts w:ascii="Bookman Old Style" w:hAnsi="Bookman Old Style" w:cs="Arial"/>
                <w:b/>
                <w:bCs/>
                <w:lang w:val="en-IN"/>
              </w:rPr>
              <w:t>Risk Category</w:t>
            </w:r>
          </w:p>
        </w:tc>
        <w:tc>
          <w:tcPr>
            <w:tcW w:w="2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B2D1A" w14:textId="77777777" w:rsidR="00E85804" w:rsidRPr="00726E01" w:rsidRDefault="00E85804" w:rsidP="00FC23D3">
            <w:pPr>
              <w:ind w:left="450"/>
              <w:jc w:val="both"/>
              <w:rPr>
                <w:rFonts w:ascii="Bookman Old Style" w:hAnsi="Bookman Old Style" w:cs="Arial"/>
                <w:b/>
                <w:bCs/>
                <w:lang w:val="en-IN"/>
              </w:rPr>
            </w:pPr>
            <w:r w:rsidRPr="00726E01">
              <w:rPr>
                <w:rFonts w:ascii="Bookman Old Style" w:hAnsi="Bookman Old Style" w:cs="Arial"/>
                <w:b/>
                <w:bCs/>
                <w:lang w:val="en-IN"/>
              </w:rPr>
              <w:t>No. of Years</w:t>
            </w:r>
          </w:p>
        </w:tc>
      </w:tr>
      <w:tr w:rsidR="00E85804" w:rsidRPr="00726E01" w14:paraId="56718FAE" w14:textId="77777777" w:rsidTr="00E8580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E29728" w14:textId="77777777" w:rsidR="00E85804" w:rsidRPr="00726E01" w:rsidRDefault="00E85804" w:rsidP="00FC23D3">
            <w:pPr>
              <w:ind w:left="450"/>
              <w:jc w:val="both"/>
              <w:rPr>
                <w:rFonts w:ascii="Bookman Old Style" w:hAnsi="Bookman Old Style" w:cs="Arial"/>
                <w:b/>
                <w:bCs/>
                <w:lang w:val="en-IN"/>
              </w:rPr>
            </w:pPr>
            <w:r w:rsidRPr="00726E01">
              <w:rPr>
                <w:rFonts w:ascii="Bookman Old Style" w:hAnsi="Bookman Old Style" w:cs="Arial"/>
                <w:b/>
                <w:bCs/>
                <w:lang w:val="en-IN"/>
              </w:rPr>
              <w:t>High</w:t>
            </w:r>
          </w:p>
        </w:tc>
        <w:tc>
          <w:tcPr>
            <w:tcW w:w="2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CDDBAE" w14:textId="287C7DBA" w:rsidR="00E85804" w:rsidRPr="00726E01" w:rsidRDefault="007B07BB" w:rsidP="00FC23D3">
            <w:pPr>
              <w:ind w:left="450"/>
              <w:jc w:val="both"/>
              <w:rPr>
                <w:rFonts w:ascii="Bookman Old Style" w:hAnsi="Bookman Old Style" w:cs="Arial"/>
                <w:b/>
                <w:bCs/>
                <w:lang w:val="en-IN"/>
              </w:rPr>
            </w:pPr>
            <w:proofErr w:type="gramStart"/>
            <w:r w:rsidRPr="00726E01">
              <w:rPr>
                <w:rFonts w:ascii="Bookman Old Style" w:hAnsi="Bookman Old Style" w:cs="Arial"/>
                <w:b/>
                <w:bCs/>
                <w:lang w:val="en-IN"/>
              </w:rPr>
              <w:t>2</w:t>
            </w:r>
            <w:r w:rsidR="00485E01" w:rsidRPr="00726E01">
              <w:rPr>
                <w:rFonts w:ascii="Bookman Old Style" w:hAnsi="Bookman Old Style" w:cs="Arial"/>
                <w:b/>
                <w:bCs/>
                <w:lang w:val="en-IN"/>
              </w:rPr>
              <w:t xml:space="preserve"> </w:t>
            </w:r>
            <w:r w:rsidR="00A36C2C" w:rsidRPr="00726E01">
              <w:rPr>
                <w:rFonts w:ascii="Bookman Old Style" w:hAnsi="Bookman Old Style" w:cs="Arial"/>
                <w:b/>
                <w:bCs/>
                <w:lang w:val="en-IN"/>
              </w:rPr>
              <w:t xml:space="preserve"> </w:t>
            </w:r>
            <w:r w:rsidR="00E85804" w:rsidRPr="00726E01">
              <w:rPr>
                <w:rFonts w:ascii="Bookman Old Style" w:hAnsi="Bookman Old Style" w:cs="Arial"/>
                <w:b/>
                <w:bCs/>
                <w:lang w:val="en-IN"/>
              </w:rPr>
              <w:t>years</w:t>
            </w:r>
            <w:proofErr w:type="gramEnd"/>
          </w:p>
        </w:tc>
      </w:tr>
      <w:tr w:rsidR="00E85804" w:rsidRPr="00726E01" w14:paraId="6A1FE4FA" w14:textId="77777777" w:rsidTr="00E8580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1EE82" w14:textId="77777777" w:rsidR="00E85804" w:rsidRPr="00726E01" w:rsidRDefault="00E85804" w:rsidP="00FC23D3">
            <w:pPr>
              <w:ind w:left="450"/>
              <w:jc w:val="both"/>
              <w:rPr>
                <w:rFonts w:ascii="Bookman Old Style" w:hAnsi="Bookman Old Style" w:cs="Arial"/>
                <w:b/>
                <w:bCs/>
                <w:lang w:val="en-IN"/>
              </w:rPr>
            </w:pPr>
            <w:r w:rsidRPr="00726E01">
              <w:rPr>
                <w:rFonts w:ascii="Bookman Old Style" w:hAnsi="Bookman Old Style" w:cs="Arial"/>
                <w:b/>
                <w:bCs/>
                <w:lang w:val="en-IN"/>
              </w:rPr>
              <w:t>Medium</w:t>
            </w:r>
          </w:p>
        </w:tc>
        <w:tc>
          <w:tcPr>
            <w:tcW w:w="2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7EB70" w14:textId="194290FA" w:rsidR="00E85804" w:rsidRPr="00726E01" w:rsidRDefault="00485E01" w:rsidP="00FC23D3">
            <w:pPr>
              <w:ind w:left="450"/>
              <w:jc w:val="both"/>
              <w:rPr>
                <w:rFonts w:ascii="Bookman Old Style" w:hAnsi="Bookman Old Style" w:cs="Arial"/>
                <w:b/>
                <w:bCs/>
                <w:lang w:val="en-IN"/>
              </w:rPr>
            </w:pPr>
            <w:r w:rsidRPr="00726E01">
              <w:rPr>
                <w:rFonts w:ascii="Bookman Old Style" w:hAnsi="Bookman Old Style" w:cs="Arial"/>
                <w:b/>
                <w:bCs/>
                <w:lang w:val="en-IN"/>
              </w:rPr>
              <w:t>5</w:t>
            </w:r>
            <w:r w:rsidR="00E85804" w:rsidRPr="00726E01">
              <w:rPr>
                <w:rFonts w:ascii="Bookman Old Style" w:hAnsi="Bookman Old Style" w:cs="Arial"/>
                <w:b/>
                <w:bCs/>
                <w:lang w:val="en-IN"/>
              </w:rPr>
              <w:t xml:space="preserve"> years</w:t>
            </w:r>
          </w:p>
        </w:tc>
      </w:tr>
      <w:tr w:rsidR="00E85804" w:rsidRPr="00810505" w14:paraId="17B05DFC" w14:textId="77777777" w:rsidTr="00E85804">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03AFC" w14:textId="77777777" w:rsidR="00E85804" w:rsidRPr="00726E01" w:rsidRDefault="00E85804" w:rsidP="00FC23D3">
            <w:pPr>
              <w:ind w:left="450"/>
              <w:jc w:val="both"/>
              <w:rPr>
                <w:rFonts w:ascii="Bookman Old Style" w:hAnsi="Bookman Old Style" w:cs="Arial"/>
                <w:b/>
                <w:bCs/>
                <w:lang w:val="en-IN"/>
              </w:rPr>
            </w:pPr>
            <w:r w:rsidRPr="00726E01">
              <w:rPr>
                <w:rFonts w:ascii="Bookman Old Style" w:hAnsi="Bookman Old Style" w:cs="Arial"/>
                <w:b/>
                <w:bCs/>
                <w:lang w:val="en-IN"/>
              </w:rPr>
              <w:t>Low</w:t>
            </w:r>
          </w:p>
        </w:tc>
        <w:tc>
          <w:tcPr>
            <w:tcW w:w="2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03D286" w14:textId="592B37EF" w:rsidR="00E85804" w:rsidRPr="00726E01" w:rsidRDefault="007B07BB" w:rsidP="00FC23D3">
            <w:pPr>
              <w:ind w:left="450"/>
              <w:jc w:val="both"/>
              <w:rPr>
                <w:rFonts w:ascii="Bookman Old Style" w:hAnsi="Bookman Old Style" w:cs="Arial"/>
                <w:b/>
                <w:bCs/>
                <w:lang w:val="en-IN"/>
              </w:rPr>
            </w:pPr>
            <w:r w:rsidRPr="00726E01">
              <w:rPr>
                <w:rFonts w:ascii="Bookman Old Style" w:hAnsi="Bookman Old Style" w:cs="Arial"/>
                <w:b/>
                <w:bCs/>
                <w:lang w:val="en-IN"/>
              </w:rPr>
              <w:t>10</w:t>
            </w:r>
            <w:r w:rsidR="00E85804" w:rsidRPr="00726E01">
              <w:rPr>
                <w:rFonts w:ascii="Bookman Old Style" w:hAnsi="Bookman Old Style" w:cs="Arial"/>
                <w:b/>
                <w:bCs/>
                <w:lang w:val="en-IN"/>
              </w:rPr>
              <w:t xml:space="preserve"> years</w:t>
            </w:r>
          </w:p>
        </w:tc>
      </w:tr>
    </w:tbl>
    <w:p w14:paraId="587D7E4E" w14:textId="77777777" w:rsidR="00E85804" w:rsidRPr="00810505" w:rsidRDefault="00E85804" w:rsidP="00FC23D3">
      <w:pPr>
        <w:ind w:left="450"/>
        <w:jc w:val="both"/>
        <w:rPr>
          <w:rFonts w:ascii="Bookman Old Style" w:hAnsi="Bookman Old Style" w:cs="Arial"/>
          <w:b/>
          <w:bCs/>
        </w:rPr>
      </w:pPr>
    </w:p>
    <w:p w14:paraId="25F6CCA6"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Action on Suspicious Transactions</w:t>
      </w:r>
    </w:p>
    <w:p w14:paraId="0815C48A" w14:textId="50B5753F" w:rsidR="00E313EE" w:rsidRPr="00810505" w:rsidRDefault="00E313EE" w:rsidP="00FC23D3">
      <w:pPr>
        <w:numPr>
          <w:ilvl w:val="1"/>
          <w:numId w:val="1"/>
        </w:numPr>
        <w:jc w:val="both"/>
        <w:rPr>
          <w:rFonts w:ascii="Bookman Old Style" w:hAnsi="Bookman Old Style" w:cs="Arial"/>
        </w:rPr>
      </w:pPr>
      <w:r w:rsidRPr="00810505">
        <w:rPr>
          <w:rFonts w:ascii="Bookman Old Style" w:hAnsi="Bookman Old Style" w:cs="Arial"/>
        </w:rPr>
        <w:t xml:space="preserve">If </w:t>
      </w:r>
      <w:r w:rsidR="002E7AC9" w:rsidRPr="00810505">
        <w:rPr>
          <w:rFonts w:ascii="Bookman Old Style" w:hAnsi="Bookman Old Style" w:cs="Arial"/>
        </w:rPr>
        <w:t>Portfolio Manager</w:t>
      </w:r>
      <w:r w:rsidRPr="00810505">
        <w:rPr>
          <w:rFonts w:ascii="Bookman Old Style" w:hAnsi="Bookman Old Style" w:cs="Arial"/>
        </w:rPr>
        <w:t xml:space="preserve"> suspects that a transaction is related to money laundering or terrorist financing, and performing further CDD may tip off the client, it will refrain from pursuing additional CDD and instead file a </w:t>
      </w:r>
      <w:r w:rsidRPr="00810505">
        <w:rPr>
          <w:rFonts w:ascii="Bookman Old Style" w:hAnsi="Bookman Old Style" w:cs="Arial"/>
          <w:b/>
          <w:bCs/>
        </w:rPr>
        <w:t>Suspicious Transaction Report (STR)</w:t>
      </w:r>
      <w:r w:rsidRPr="00810505">
        <w:rPr>
          <w:rFonts w:ascii="Bookman Old Style" w:hAnsi="Bookman Old Style" w:cs="Arial"/>
        </w:rPr>
        <w:t xml:space="preserve"> with the Financial Intelligence Unit (FIU-IND).</w:t>
      </w:r>
    </w:p>
    <w:p w14:paraId="46219981" w14:textId="77777777" w:rsidR="00E313EE" w:rsidRPr="00810505" w:rsidRDefault="00E313EE" w:rsidP="00FC23D3">
      <w:pPr>
        <w:numPr>
          <w:ilvl w:val="0"/>
          <w:numId w:val="1"/>
        </w:numPr>
        <w:jc w:val="both"/>
        <w:rPr>
          <w:rFonts w:ascii="Bookman Old Style" w:hAnsi="Bookman Old Style" w:cs="Arial"/>
        </w:rPr>
      </w:pPr>
      <w:r w:rsidRPr="00810505">
        <w:rPr>
          <w:rFonts w:ascii="Bookman Old Style" w:hAnsi="Bookman Old Style" w:cs="Arial"/>
          <w:b/>
          <w:bCs/>
        </w:rPr>
        <w:t>Special Measures for Non-Profit Organizations (NPOs)</w:t>
      </w:r>
    </w:p>
    <w:p w14:paraId="120ACC9F" w14:textId="09B9A505" w:rsidR="00E313EE" w:rsidRPr="00810505" w:rsidRDefault="00E313EE" w:rsidP="00FC23D3">
      <w:pPr>
        <w:numPr>
          <w:ilvl w:val="1"/>
          <w:numId w:val="1"/>
        </w:numPr>
        <w:jc w:val="both"/>
        <w:rPr>
          <w:rFonts w:ascii="Bookman Old Style" w:hAnsi="Bookman Old Style" w:cs="Arial"/>
          <w:lang w:val="en-IN"/>
        </w:rPr>
      </w:pPr>
      <w:r w:rsidRPr="00810505">
        <w:rPr>
          <w:rFonts w:ascii="Bookman Old Style" w:hAnsi="Bookman Old Style" w:cs="Arial"/>
        </w:rPr>
        <w:t xml:space="preserve">For clients that are non-profit organizations, </w:t>
      </w:r>
      <w:r w:rsidR="002E7AC9" w:rsidRPr="00810505">
        <w:rPr>
          <w:rFonts w:ascii="Bookman Old Style" w:hAnsi="Bookman Old Style" w:cs="Arial"/>
        </w:rPr>
        <w:t>Portfolio Manager</w:t>
      </w:r>
      <w:r w:rsidRPr="00810505">
        <w:rPr>
          <w:rFonts w:ascii="Bookman Old Style" w:hAnsi="Bookman Old Style" w:cs="Arial"/>
        </w:rPr>
        <w:t xml:space="preserve"> will ensure that they are registered on the DARPAN Portal of NITI Aayog (if not already registered) and will retain such records for a </w:t>
      </w:r>
      <w:r w:rsidR="00477E60" w:rsidRPr="00810505">
        <w:rPr>
          <w:rFonts w:ascii="Bookman Old Style" w:hAnsi="Bookman Old Style" w:cs="Arial"/>
          <w:lang w:val="en-IN"/>
        </w:rPr>
        <w:t xml:space="preserve">period of five years after the business relationship between a client and </w:t>
      </w:r>
      <w:r w:rsidR="002E7AC9" w:rsidRPr="00810505">
        <w:rPr>
          <w:rFonts w:ascii="Bookman Old Style" w:hAnsi="Bookman Old Style" w:cs="Arial"/>
          <w:lang w:val="en-IN"/>
        </w:rPr>
        <w:t>Portfolio Manager</w:t>
      </w:r>
      <w:r w:rsidR="00477E60" w:rsidRPr="00810505">
        <w:rPr>
          <w:rFonts w:ascii="Bookman Old Style" w:hAnsi="Bookman Old Style" w:cs="Arial"/>
          <w:lang w:val="en-IN"/>
        </w:rPr>
        <w:t xml:space="preserve"> has ended or the account has been closed, whichever is later.</w:t>
      </w:r>
    </w:p>
    <w:p w14:paraId="2C356572" w14:textId="493273A5" w:rsidR="00C947C1" w:rsidRPr="00810505" w:rsidRDefault="00C947C1" w:rsidP="00FC23D3">
      <w:pPr>
        <w:numPr>
          <w:ilvl w:val="0"/>
          <w:numId w:val="1"/>
        </w:numPr>
        <w:jc w:val="both"/>
        <w:rPr>
          <w:rFonts w:ascii="Bookman Old Style" w:hAnsi="Bookman Old Style" w:cs="Arial"/>
        </w:rPr>
      </w:pPr>
      <w:r w:rsidRPr="00810505">
        <w:rPr>
          <w:rFonts w:ascii="Bookman Old Style" w:hAnsi="Bookman Old Style" w:cs="Arial"/>
          <w:b/>
          <w:bCs/>
        </w:rPr>
        <w:t>Suspicion of Money Laundering or Terrorist Financing</w:t>
      </w:r>
      <w:r w:rsidRPr="00810505">
        <w:rPr>
          <w:rFonts w:ascii="Bookman Old Style" w:hAnsi="Bookman Old Style" w:cs="Arial"/>
        </w:rPr>
        <w:t xml:space="preserve">: In situations where </w:t>
      </w:r>
      <w:r w:rsidR="002E7AC9" w:rsidRPr="00810505">
        <w:rPr>
          <w:rFonts w:ascii="Bookman Old Style" w:hAnsi="Bookman Old Style" w:cs="Arial"/>
        </w:rPr>
        <w:t>Portfolio Manager</w:t>
      </w:r>
      <w:r w:rsidRPr="00810505">
        <w:rPr>
          <w:rFonts w:ascii="Bookman Old Style" w:hAnsi="Bookman Old Style" w:cs="Arial"/>
        </w:rPr>
        <w:t xml:space="preserve">, has reasonable suspicion that a transaction is linked to money laundering or terrorist financing and believes that performing the Customer Due Diligence (CDD) process may alert or tip-off the client, </w:t>
      </w:r>
      <w:r w:rsidR="002E7AC9" w:rsidRPr="00810505">
        <w:rPr>
          <w:rFonts w:ascii="Bookman Old Style" w:hAnsi="Bookman Old Style" w:cs="Arial"/>
        </w:rPr>
        <w:t>Portfolio Manager</w:t>
      </w:r>
      <w:r w:rsidRPr="00810505">
        <w:rPr>
          <w:rFonts w:ascii="Bookman Old Style" w:hAnsi="Bookman Old Style" w:cs="Arial"/>
        </w:rPr>
        <w:t xml:space="preserve"> will not proceed with the CDD process. Instead, </w:t>
      </w:r>
      <w:r w:rsidR="002E7AC9" w:rsidRPr="00810505">
        <w:rPr>
          <w:rFonts w:ascii="Bookman Old Style" w:hAnsi="Bookman Old Style" w:cs="Arial"/>
        </w:rPr>
        <w:t>Portfolio Manager</w:t>
      </w:r>
      <w:r w:rsidRPr="00810505">
        <w:rPr>
          <w:rFonts w:ascii="Bookman Old Style" w:hAnsi="Bookman Old Style" w:cs="Arial"/>
        </w:rPr>
        <w:t xml:space="preserve"> will file a Suspicious Transaction Report (STR) with the Financial Intelligence Unit of India (FIU-IND) as per regulatory requirements.</w:t>
      </w:r>
    </w:p>
    <w:p w14:paraId="3490DD7F" w14:textId="0ED90B55" w:rsidR="00C947C1" w:rsidRPr="00810505" w:rsidRDefault="00C947C1" w:rsidP="00FC23D3">
      <w:pPr>
        <w:numPr>
          <w:ilvl w:val="0"/>
          <w:numId w:val="1"/>
        </w:numPr>
        <w:jc w:val="both"/>
        <w:rPr>
          <w:rFonts w:ascii="Bookman Old Style" w:hAnsi="Bookman Old Style" w:cs="Arial"/>
        </w:rPr>
      </w:pPr>
      <w:r w:rsidRPr="00810505">
        <w:rPr>
          <w:rFonts w:ascii="Bookman Old Style" w:hAnsi="Bookman Old Style" w:cs="Arial"/>
          <w:b/>
          <w:bCs/>
        </w:rPr>
        <w:t>Obligation to Follow CDD Procedure</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ensure that no transaction or account-based relationship is undertaken without first completing the required Customer Due Diligence (CDD) procedure, in line with regulatory compliance. </w:t>
      </w:r>
    </w:p>
    <w:p w14:paraId="1CFA2FAA" w14:textId="42DA07F8" w:rsidR="00030053" w:rsidRPr="00810505" w:rsidRDefault="00432A09" w:rsidP="00FC23D3">
      <w:pPr>
        <w:pStyle w:val="Heading1"/>
        <w:jc w:val="both"/>
        <w:rPr>
          <w:rFonts w:ascii="Bookman Old Style" w:hAnsi="Bookman Old Style" w:cs="Arial"/>
          <w:sz w:val="20"/>
          <w:szCs w:val="20"/>
        </w:rPr>
      </w:pPr>
      <w:bookmarkStart w:id="10" w:name="_Toc229159934"/>
      <w:r w:rsidRPr="00810505">
        <w:rPr>
          <w:rFonts w:ascii="Bookman Old Style" w:hAnsi="Bookman Old Style" w:cs="Arial"/>
          <w:sz w:val="20"/>
          <w:szCs w:val="20"/>
        </w:rPr>
        <w:t>Policy for Acceptance of Clients</w:t>
      </w:r>
      <w:bookmarkEnd w:id="10"/>
      <w:r w:rsidRPr="00810505">
        <w:rPr>
          <w:rFonts w:ascii="Bookman Old Style" w:hAnsi="Bookman Old Style" w:cs="Arial"/>
          <w:sz w:val="20"/>
          <w:szCs w:val="20"/>
        </w:rPr>
        <w:t xml:space="preserve"> </w:t>
      </w:r>
    </w:p>
    <w:p w14:paraId="05318B20" w14:textId="65A38F03" w:rsidR="00554A57"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554A57" w:rsidRPr="00810505">
        <w:rPr>
          <w:rFonts w:ascii="Bookman Old Style" w:hAnsi="Bookman Old Style" w:cs="Arial"/>
        </w:rPr>
        <w:t xml:space="preserve"> shall establish and implement comprehensive client acceptance policies and procedures to identify clients who may pose a </w:t>
      </w:r>
      <w:proofErr w:type="gramStart"/>
      <w:r w:rsidR="00554A57" w:rsidRPr="00810505">
        <w:rPr>
          <w:rFonts w:ascii="Bookman Old Style" w:hAnsi="Bookman Old Style" w:cs="Arial"/>
        </w:rPr>
        <w:t>higher than average</w:t>
      </w:r>
      <w:proofErr w:type="gramEnd"/>
      <w:r w:rsidR="00554A57" w:rsidRPr="00810505">
        <w:rPr>
          <w:rFonts w:ascii="Bookman Old Style" w:hAnsi="Bookman Old Style" w:cs="Arial"/>
        </w:rPr>
        <w:t xml:space="preserve"> risk of money laundering (ML) or terrorist financing (TF). These policies ensure that </w:t>
      </w:r>
      <w:r w:rsidRPr="00810505">
        <w:rPr>
          <w:rFonts w:ascii="Bookman Old Style" w:hAnsi="Bookman Old Style" w:cs="Arial"/>
        </w:rPr>
        <w:t>Portfolio Manager</w:t>
      </w:r>
      <w:r w:rsidR="00554A57" w:rsidRPr="00810505">
        <w:rPr>
          <w:rFonts w:ascii="Bookman Old Style" w:hAnsi="Bookman Old Style" w:cs="Arial"/>
        </w:rPr>
        <w:t xml:space="preserve"> apply client due diligence (CDD) on a risk-sensitive basis, depending on the type of client, business relationship, or transaction. The following safeguards shall be followed while accepting clients:</w:t>
      </w:r>
    </w:p>
    <w:p w14:paraId="58B2F4F5" w14:textId="2A4DBC7A" w:rsidR="00554A57" w:rsidRPr="00810505" w:rsidRDefault="00554A57" w:rsidP="00FC23D3">
      <w:pPr>
        <w:pStyle w:val="ListParagraph"/>
        <w:numPr>
          <w:ilvl w:val="0"/>
          <w:numId w:val="3"/>
        </w:numPr>
        <w:ind w:left="360" w:firstLine="0"/>
        <w:contextualSpacing w:val="0"/>
        <w:jc w:val="both"/>
        <w:rPr>
          <w:rFonts w:ascii="Bookman Old Style" w:hAnsi="Bookman Old Style" w:cs="Arial"/>
        </w:rPr>
      </w:pPr>
      <w:r w:rsidRPr="00810505">
        <w:rPr>
          <w:rFonts w:ascii="Bookman Old Style" w:hAnsi="Bookman Old Style" w:cs="Arial"/>
          <w:b/>
          <w:bCs/>
        </w:rPr>
        <w:lastRenderedPageBreak/>
        <w:t>No Anonymous Accounts: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not permit the opening or maintenance of any anonymous accounts, fictitious accounts, or accounts opened on behalf of other persons whose identity has not been disclosed or cannot be verified.</w:t>
      </w:r>
    </w:p>
    <w:p w14:paraId="0BC04BB9" w14:textId="6EA86196" w:rsidR="00533E46" w:rsidRPr="00810505" w:rsidRDefault="00554A57" w:rsidP="00FC23D3">
      <w:pPr>
        <w:pStyle w:val="ListParagraph"/>
        <w:numPr>
          <w:ilvl w:val="0"/>
          <w:numId w:val="3"/>
        </w:numPr>
        <w:ind w:left="360" w:firstLine="0"/>
        <w:contextualSpacing w:val="0"/>
        <w:jc w:val="both"/>
        <w:rPr>
          <w:rFonts w:ascii="Bookman Old Style" w:hAnsi="Bookman Old Style" w:cs="Arial"/>
        </w:rPr>
      </w:pPr>
      <w:r w:rsidRPr="00810505">
        <w:rPr>
          <w:rFonts w:ascii="Bookman Old Style" w:hAnsi="Bookman Old Style" w:cs="Arial"/>
          <w:b/>
          <w:bCs/>
        </w:rPr>
        <w:t>Risk Perception Factors: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clearly define factors to assess the risk perception of clients, considering their location (e.g., registered office, correspondence addresses), nature of business activity, trading turnover, and the manner of payment for transactions. Clients will be classified into low, medium, and high-risk categories based on these parameters. </w:t>
      </w:r>
      <w:r w:rsidR="00533E46" w:rsidRPr="00810505">
        <w:rPr>
          <w:rFonts w:ascii="Bookman Old Style" w:hAnsi="Bookman Old Style" w:cs="Arial"/>
        </w:rPr>
        <w:t>In order to achieve this objective, all clients should be classified in the following category:</w:t>
      </w:r>
    </w:p>
    <w:p w14:paraId="1FF301D8" w14:textId="23F43B47" w:rsidR="00533E46" w:rsidRPr="00810505" w:rsidRDefault="00533E46" w:rsidP="00FC23D3">
      <w:pPr>
        <w:pStyle w:val="ListParagraph"/>
        <w:numPr>
          <w:ilvl w:val="0"/>
          <w:numId w:val="4"/>
        </w:numPr>
        <w:jc w:val="both"/>
        <w:rPr>
          <w:rFonts w:ascii="Bookman Old Style" w:hAnsi="Bookman Old Style" w:cs="Arial"/>
        </w:rPr>
      </w:pPr>
      <w:r w:rsidRPr="00810505">
        <w:rPr>
          <w:rFonts w:ascii="Bookman Old Style" w:hAnsi="Bookman Old Style" w:cs="Arial"/>
        </w:rPr>
        <w:t xml:space="preserve">Category A – High risk  </w:t>
      </w:r>
    </w:p>
    <w:p w14:paraId="67AA8B11" w14:textId="77777777" w:rsidR="00533E46" w:rsidRPr="00810505" w:rsidRDefault="00533E46" w:rsidP="00FC23D3">
      <w:pPr>
        <w:pStyle w:val="ListParagraph"/>
        <w:numPr>
          <w:ilvl w:val="0"/>
          <w:numId w:val="4"/>
        </w:numPr>
        <w:jc w:val="both"/>
        <w:rPr>
          <w:rFonts w:ascii="Bookman Old Style" w:hAnsi="Bookman Old Style" w:cs="Arial"/>
        </w:rPr>
      </w:pPr>
      <w:r w:rsidRPr="00810505">
        <w:rPr>
          <w:rFonts w:ascii="Bookman Old Style" w:hAnsi="Bookman Old Style" w:cs="Arial"/>
        </w:rPr>
        <w:t>Category B – Medium Risk</w:t>
      </w:r>
    </w:p>
    <w:p w14:paraId="06518895" w14:textId="2158A803" w:rsidR="00E56839" w:rsidRPr="00810505" w:rsidRDefault="00533E46" w:rsidP="00FC23D3">
      <w:pPr>
        <w:pStyle w:val="ListParagraph"/>
        <w:numPr>
          <w:ilvl w:val="0"/>
          <w:numId w:val="4"/>
        </w:numPr>
        <w:jc w:val="both"/>
        <w:rPr>
          <w:rFonts w:ascii="Bookman Old Style" w:hAnsi="Bookman Old Style" w:cs="Arial"/>
        </w:rPr>
      </w:pPr>
      <w:r w:rsidRPr="00810505">
        <w:rPr>
          <w:rFonts w:ascii="Bookman Old Style" w:hAnsi="Bookman Old Style" w:cs="Arial"/>
        </w:rPr>
        <w:t>Category C – Low risk</w:t>
      </w:r>
    </w:p>
    <w:p w14:paraId="7E5ED697" w14:textId="77777777" w:rsidR="00533E46" w:rsidRPr="00810505" w:rsidRDefault="00533E46" w:rsidP="00FC23D3">
      <w:pPr>
        <w:pStyle w:val="ListParagraph"/>
        <w:ind w:left="994"/>
        <w:jc w:val="both"/>
        <w:rPr>
          <w:rFonts w:ascii="Bookman Old Style" w:hAnsi="Bookman Old Style" w:cs="Arial"/>
        </w:rPr>
      </w:pPr>
    </w:p>
    <w:p w14:paraId="29CECAA1" w14:textId="69455363" w:rsidR="00554A57" w:rsidRPr="00810505" w:rsidRDefault="00554A57" w:rsidP="00FC23D3">
      <w:pPr>
        <w:pStyle w:val="ListParagraph"/>
        <w:numPr>
          <w:ilvl w:val="0"/>
          <w:numId w:val="3"/>
        </w:numPr>
        <w:ind w:left="360" w:firstLine="0"/>
        <w:jc w:val="both"/>
        <w:rPr>
          <w:rFonts w:ascii="Bookman Old Style" w:hAnsi="Bookman Old Style" w:cs="Arial"/>
        </w:rPr>
      </w:pPr>
      <w:r w:rsidRPr="00810505">
        <w:rPr>
          <w:rFonts w:ascii="Bookman Old Style" w:hAnsi="Bookman Old Style" w:cs="Arial"/>
          <w:b/>
          <w:bCs/>
        </w:rPr>
        <w:t>Enhanced Due Diligence for Clients of Special Category (CSC):</w:t>
      </w:r>
      <w:r w:rsidRPr="00810505">
        <w:rPr>
          <w:rFonts w:ascii="Bookman Old Style" w:hAnsi="Bookman Old Style" w:cs="Arial"/>
        </w:rPr>
        <w:t xml:space="preserve"> Clients of Special Category (CSC) will undergo enhanced due diligence measures.</w:t>
      </w:r>
      <w:r w:rsidR="00991807" w:rsidRPr="00810505">
        <w:rPr>
          <w:rFonts w:ascii="Bookman Old Style" w:hAnsi="Bookman Old Style" w:cs="Arial"/>
        </w:rPr>
        <w:t xml:space="preserve"> Clients from special categories (listed below) may be classified as higher risk and will require enhanced due diligence and regular updates to their Know Your Customer (KYC) profiles.</w:t>
      </w:r>
      <w:r w:rsidR="00C51265">
        <w:rPr>
          <w:rFonts w:ascii="Bookman Old Style" w:hAnsi="Bookman Old Style" w:cs="Arial"/>
        </w:rPr>
        <w:t xml:space="preserve"> </w:t>
      </w:r>
      <w:r w:rsidRPr="00810505">
        <w:rPr>
          <w:rFonts w:ascii="Bookman Old Style" w:hAnsi="Bookman Old Style" w:cs="Arial"/>
        </w:rPr>
        <w:t>CSC includes the following categories:</w:t>
      </w:r>
    </w:p>
    <w:p w14:paraId="7D40495E"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Non-resident clients</w:t>
      </w:r>
    </w:p>
    <w:p w14:paraId="264B94E9"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High net-worth clients</w:t>
      </w:r>
    </w:p>
    <w:p w14:paraId="3C9C6891"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Trusts, Charities, Non-Governmental Organizations (NGOs), and organizations receiving donations</w:t>
      </w:r>
    </w:p>
    <w:p w14:paraId="576445CF"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Companies with close family shareholding or beneficial ownership</w:t>
      </w:r>
    </w:p>
    <w:p w14:paraId="3CD70CD0"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Politically Exposed Persons (PEPs), as defined in the PML Rules, including family members and close associates of PEPs</w:t>
      </w:r>
    </w:p>
    <w:p w14:paraId="21134FA5"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Clients in high-risk countries (as identified by the Financial Action Task Force (FATF) and publicly available information)</w:t>
      </w:r>
    </w:p>
    <w:p w14:paraId="7CE33CBD"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Non-face-to-face clients (clients who do not meet intermediaries in person, including those utilizing video-based customer identification processes)</w:t>
      </w:r>
    </w:p>
    <w:p w14:paraId="349E09A9" w14:textId="77777777" w:rsidR="00554A57" w:rsidRPr="00810505" w:rsidRDefault="00554A57" w:rsidP="00FC23D3">
      <w:pPr>
        <w:numPr>
          <w:ilvl w:val="0"/>
          <w:numId w:val="2"/>
        </w:numPr>
        <w:jc w:val="both"/>
        <w:rPr>
          <w:rFonts w:ascii="Bookman Old Style" w:hAnsi="Bookman Old Style" w:cs="Arial"/>
        </w:rPr>
      </w:pPr>
      <w:r w:rsidRPr="00810505">
        <w:rPr>
          <w:rFonts w:ascii="Bookman Old Style" w:hAnsi="Bookman Old Style" w:cs="Arial"/>
        </w:rPr>
        <w:t>Clients with dubious reputations, as indicated by public information</w:t>
      </w:r>
    </w:p>
    <w:p w14:paraId="2DE55A8F" w14:textId="4C260E45" w:rsidR="00554A57"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554A57" w:rsidRPr="00810505">
        <w:rPr>
          <w:rFonts w:ascii="Bookman Old Style" w:hAnsi="Bookman Old Style" w:cs="Arial"/>
        </w:rPr>
        <w:t xml:space="preserve"> shall independently assess clients who fall outside of these categories and apply appropriate due diligence.</w:t>
      </w:r>
    </w:p>
    <w:p w14:paraId="52CFE256" w14:textId="6B001BDC" w:rsidR="00554A57" w:rsidRPr="00810505" w:rsidRDefault="00554A57">
      <w:pPr>
        <w:pStyle w:val="ListParagraph"/>
        <w:numPr>
          <w:ilvl w:val="0"/>
          <w:numId w:val="19"/>
        </w:numPr>
        <w:ind w:firstLine="0"/>
        <w:contextualSpacing w:val="0"/>
        <w:jc w:val="both"/>
        <w:rPr>
          <w:rFonts w:ascii="Bookman Old Style" w:hAnsi="Bookman Old Style" w:cs="Arial"/>
        </w:rPr>
      </w:pPr>
      <w:r w:rsidRPr="00810505">
        <w:rPr>
          <w:rFonts w:ascii="Bookman Old Style" w:hAnsi="Bookman Old Style" w:cs="Arial"/>
          <w:b/>
          <w:bCs/>
        </w:rPr>
        <w:t>Documentation Requirements:</w:t>
      </w:r>
      <w:r w:rsidR="00EF03D0" w:rsidRPr="00810505">
        <w:rPr>
          <w:rFonts w:ascii="Bookman Old Style" w:hAnsi="Bookman Old Style" w:cs="Arial"/>
        </w:rPr>
        <w:t xml:space="preserve"> </w:t>
      </w:r>
      <w:r w:rsidRPr="00810505">
        <w:rPr>
          <w:rFonts w:ascii="Bookman Old Style" w:hAnsi="Bookman Old Style" w:cs="Arial"/>
        </w:rPr>
        <w:t>The necessary documentation and information will be collected depending on the perceived risk of the client, in line with Rule 9 of the PML Rules and the directives issued by SEBI.</w:t>
      </w:r>
    </w:p>
    <w:p w14:paraId="0C2AD48A" w14:textId="129CBB67" w:rsidR="00554A57" w:rsidRPr="00810505" w:rsidRDefault="00554A57">
      <w:pPr>
        <w:pStyle w:val="ListParagraph"/>
        <w:numPr>
          <w:ilvl w:val="0"/>
          <w:numId w:val="19"/>
        </w:numPr>
        <w:ind w:firstLine="0"/>
        <w:contextualSpacing w:val="0"/>
        <w:jc w:val="both"/>
        <w:rPr>
          <w:rFonts w:ascii="Bookman Old Style" w:hAnsi="Bookman Old Style" w:cs="Arial"/>
        </w:rPr>
      </w:pPr>
      <w:r w:rsidRPr="00810505">
        <w:rPr>
          <w:rFonts w:ascii="Bookman Old Style" w:hAnsi="Bookman Old Style" w:cs="Arial"/>
          <w:b/>
          <w:bCs/>
        </w:rPr>
        <w:t>Accounts Where CDD Cannot Be Applied:</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not open an account if it is not possible to apply appropriate CDD measures. This includes situations where the </w:t>
      </w:r>
      <w:r w:rsidRPr="00810505">
        <w:rPr>
          <w:rFonts w:ascii="Bookman Old Style" w:hAnsi="Bookman Old Style" w:cs="Arial"/>
        </w:rPr>
        <w:lastRenderedPageBreak/>
        <w:t xml:space="preserve">identity of the client cannot be ascertained, or the provided information is suspected to be false, or if the client is uncooperative. If these issues arise, </w:t>
      </w:r>
      <w:r w:rsidR="002E7AC9" w:rsidRPr="00810505">
        <w:rPr>
          <w:rFonts w:ascii="Bookman Old Style" w:hAnsi="Bookman Old Style" w:cs="Arial"/>
        </w:rPr>
        <w:t>Portfolio Manager</w:t>
      </w:r>
      <w:r w:rsidRPr="00810505">
        <w:rPr>
          <w:rFonts w:ascii="Bookman Old Style" w:hAnsi="Bookman Old Style" w:cs="Arial"/>
        </w:rPr>
        <w:t xml:space="preserve"> shall not continue the business relationship and will file a Suspicious Activity Report (SAR). </w:t>
      </w:r>
      <w:r w:rsidR="002E7AC9" w:rsidRPr="00810505">
        <w:rPr>
          <w:rFonts w:ascii="Bookman Old Style" w:hAnsi="Bookman Old Style" w:cs="Arial"/>
        </w:rPr>
        <w:t>Portfolio Manager</w:t>
      </w:r>
      <w:r w:rsidR="002A247D" w:rsidRPr="00810505">
        <w:rPr>
          <w:rFonts w:ascii="Bookman Old Style" w:hAnsi="Bookman Old Style" w:cs="Arial"/>
        </w:rPr>
        <w:t xml:space="preserve"> shall</w:t>
      </w:r>
      <w:r w:rsidRPr="00810505">
        <w:rPr>
          <w:rFonts w:ascii="Bookman Old Style" w:hAnsi="Bookman Old Style" w:cs="Arial"/>
        </w:rPr>
        <w:t xml:space="preserve"> also evaluate any suspicious trading and consider whether to freeze or close the account in such circumstances.</w:t>
      </w:r>
    </w:p>
    <w:p w14:paraId="622856B2" w14:textId="791E5508" w:rsidR="00554A57" w:rsidRPr="00810505" w:rsidRDefault="00554A57">
      <w:pPr>
        <w:pStyle w:val="ListParagraph"/>
        <w:numPr>
          <w:ilvl w:val="0"/>
          <w:numId w:val="19"/>
        </w:numPr>
        <w:ind w:firstLine="0"/>
        <w:contextualSpacing w:val="0"/>
        <w:jc w:val="both"/>
        <w:rPr>
          <w:rFonts w:ascii="Bookman Old Style" w:hAnsi="Bookman Old Style" w:cs="Arial"/>
        </w:rPr>
      </w:pPr>
      <w:r w:rsidRPr="00810505">
        <w:rPr>
          <w:rFonts w:ascii="Bookman Old Style" w:hAnsi="Bookman Old Style" w:cs="Arial"/>
          <w:b/>
          <w:bCs/>
        </w:rPr>
        <w:t>Client Acting on Behalf of Another Entity:</w:t>
      </w:r>
      <w:r w:rsidRPr="00810505">
        <w:rPr>
          <w:rFonts w:ascii="Bookman Old Style" w:hAnsi="Bookman Old Style" w:cs="Arial"/>
        </w:rPr>
        <w:t xml:space="preserve"> If a client is acting on behalf of another person or entity, the circumstances will be clearly outlined. The account's operation, transaction limits, and additional authority requirements for transactions above specified thresholds will be defined. </w:t>
      </w:r>
      <w:r w:rsidR="004F1F3C" w:rsidRPr="00810505">
        <w:rPr>
          <w:rFonts w:ascii="Bookman Old Style" w:hAnsi="Bookman Old Style" w:cs="Arial"/>
        </w:rPr>
        <w:t>T</w:t>
      </w:r>
      <w:r w:rsidR="00D520FF" w:rsidRPr="00810505">
        <w:rPr>
          <w:rFonts w:ascii="Bookman Old Style" w:hAnsi="Bookman Old Style" w:cs="Arial"/>
        </w:rPr>
        <w:t xml:space="preserve">he rights and responsibilities of both the persons, i.e., the agent-client registered with </w:t>
      </w:r>
      <w:r w:rsidR="002E7AC9" w:rsidRPr="00810505">
        <w:rPr>
          <w:rFonts w:ascii="Bookman Old Style" w:hAnsi="Bookman Old Style" w:cs="Arial"/>
        </w:rPr>
        <w:t>Portfolio Manager</w:t>
      </w:r>
      <w:r w:rsidR="00D520FF" w:rsidRPr="00810505">
        <w:rPr>
          <w:rFonts w:ascii="Bookman Old Style" w:hAnsi="Bookman Old Style" w:cs="Arial"/>
        </w:rPr>
        <w:t>, as well as the person on whose behalf the agent is acting, shall be clearly laid down</w:t>
      </w:r>
      <w:r w:rsidR="003C58A9" w:rsidRPr="00810505">
        <w:rPr>
          <w:rFonts w:ascii="Bookman Old Style" w:hAnsi="Bookman Old Style" w:cs="Arial"/>
        </w:rPr>
        <w:t>. Adequate verification of a person’s authority to act on behalf of the client shall also be carried out.</w:t>
      </w:r>
    </w:p>
    <w:p w14:paraId="2708BAF6" w14:textId="7500F509" w:rsidR="005B54AE" w:rsidRPr="00810505" w:rsidRDefault="00554A57">
      <w:pPr>
        <w:pStyle w:val="ListParagraph"/>
        <w:numPr>
          <w:ilvl w:val="0"/>
          <w:numId w:val="20"/>
        </w:numPr>
        <w:tabs>
          <w:tab w:val="left" w:pos="360"/>
        </w:tabs>
        <w:ind w:firstLine="0"/>
        <w:contextualSpacing w:val="0"/>
        <w:jc w:val="both"/>
        <w:rPr>
          <w:rFonts w:ascii="Bookman Old Style" w:hAnsi="Bookman Old Style" w:cs="Arial"/>
        </w:rPr>
      </w:pPr>
      <w:r w:rsidRPr="00810505">
        <w:rPr>
          <w:rFonts w:ascii="Bookman Old Style" w:hAnsi="Bookman Old Style" w:cs="Arial"/>
          <w:b/>
          <w:bCs/>
        </w:rPr>
        <w:t>Client Background Checks: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conduct necessary checks to ensure that the client’s identity does not match any individual with a known criminal background or who is banned from conducting business due to criminal or civil proceedings by enforcement agencies worldwide.</w:t>
      </w:r>
    </w:p>
    <w:p w14:paraId="4BC1AB3B" w14:textId="7203F99B" w:rsidR="00C31ED8" w:rsidRPr="00810505" w:rsidRDefault="00554A57">
      <w:pPr>
        <w:pStyle w:val="ListParagraph"/>
        <w:numPr>
          <w:ilvl w:val="1"/>
          <w:numId w:val="16"/>
        </w:numPr>
        <w:ind w:left="360" w:firstLine="0"/>
        <w:jc w:val="both"/>
        <w:rPr>
          <w:rFonts w:ascii="Bookman Old Style" w:hAnsi="Bookman Old Style" w:cs="Arial"/>
        </w:rPr>
      </w:pPr>
      <w:r w:rsidRPr="00810505">
        <w:rPr>
          <w:rFonts w:ascii="Bookman Old Style" w:hAnsi="Bookman Old Style" w:cs="Arial"/>
          <w:b/>
          <w:bCs/>
        </w:rPr>
        <w:t>Revisiting CDD Process:</w:t>
      </w:r>
      <w:r w:rsidRPr="00810505">
        <w:rPr>
          <w:rFonts w:ascii="Bookman Old Style" w:hAnsi="Bookman Old Style" w:cs="Arial"/>
        </w:rPr>
        <w:t xml:space="preserve"> The CDD process will be revisited when there are suspicions of money laundering or terrorist financing, ensuring continuous compliance and risk management</w:t>
      </w:r>
      <w:r w:rsidR="00C31ED8" w:rsidRPr="00810505">
        <w:rPr>
          <w:rFonts w:ascii="Bookman Old Style" w:hAnsi="Bookman Old Style" w:cs="Arial"/>
        </w:rPr>
        <w:t>.</w:t>
      </w:r>
    </w:p>
    <w:p w14:paraId="179DE7B0" w14:textId="2F123DA4" w:rsidR="00554A57" w:rsidRPr="00810505" w:rsidRDefault="00C90AAC" w:rsidP="00FC23D3">
      <w:pPr>
        <w:pStyle w:val="Heading1"/>
        <w:jc w:val="both"/>
        <w:rPr>
          <w:rFonts w:ascii="Bookman Old Style" w:hAnsi="Bookman Old Style" w:cs="Arial"/>
          <w:sz w:val="20"/>
          <w:szCs w:val="20"/>
        </w:rPr>
      </w:pPr>
      <w:bookmarkStart w:id="11" w:name="_Toc229159935"/>
      <w:r w:rsidRPr="00810505">
        <w:rPr>
          <w:rFonts w:ascii="Bookman Old Style" w:hAnsi="Bookman Old Style" w:cs="Arial"/>
          <w:sz w:val="20"/>
          <w:szCs w:val="20"/>
        </w:rPr>
        <w:t>Client Identification Procedure (CIP)</w:t>
      </w:r>
      <w:bookmarkEnd w:id="11"/>
    </w:p>
    <w:p w14:paraId="0A67AFE0" w14:textId="6B38A7A4"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t>Client Identification Procedure (CIP) Framework</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have a clear and comprehensive Client Identification Procedure (CIP) in place, which shall be followed at different stages:</w:t>
      </w:r>
    </w:p>
    <w:p w14:paraId="46D2E629"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At the time of establishing the intermediary-client relationship,</w:t>
      </w:r>
    </w:p>
    <w:p w14:paraId="23D49F2B"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While carrying out transactions for the client,</w:t>
      </w:r>
    </w:p>
    <w:p w14:paraId="2EEAFA28" w14:textId="230B22CA"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 xml:space="preserve">When </w:t>
      </w:r>
      <w:r w:rsidR="002E7AC9" w:rsidRPr="00810505">
        <w:rPr>
          <w:rFonts w:ascii="Bookman Old Style" w:hAnsi="Bookman Old Style" w:cs="Arial"/>
        </w:rPr>
        <w:t>Portfolio Manager</w:t>
      </w:r>
      <w:r w:rsidRPr="00810505">
        <w:rPr>
          <w:rFonts w:ascii="Bookman Old Style" w:hAnsi="Bookman Old Style" w:cs="Arial"/>
        </w:rPr>
        <w:t xml:space="preserve"> has doubts regarding the veracity or adequacy of previously obtained client identification data.</w:t>
      </w:r>
    </w:p>
    <w:p w14:paraId="078B9997" w14:textId="75408A48"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t>Compliance Requirements for CIP</w:t>
      </w:r>
      <w:r w:rsidRPr="00810505">
        <w:rPr>
          <w:rFonts w:ascii="Bookman Old Style" w:hAnsi="Bookman Old Style" w:cs="Arial"/>
        </w:rPr>
        <w:t xml:space="preserve">: </w:t>
      </w:r>
      <w:r w:rsidR="002E7AC9" w:rsidRPr="00810505">
        <w:rPr>
          <w:rFonts w:ascii="Bookman Old Style" w:hAnsi="Bookman Old Style" w:cs="Arial"/>
        </w:rPr>
        <w:t>Portfolio Manager</w:t>
      </w:r>
      <w:r w:rsidR="00477DB7" w:rsidRPr="00810505">
        <w:rPr>
          <w:rFonts w:ascii="Bookman Old Style" w:hAnsi="Bookman Old Style" w:cs="Arial"/>
        </w:rPr>
        <w:t xml:space="preserve">, </w:t>
      </w:r>
      <w:r w:rsidRPr="00810505">
        <w:rPr>
          <w:rFonts w:ascii="Bookman Old Style" w:hAnsi="Bookman Old Style" w:cs="Arial"/>
        </w:rPr>
        <w:t>shall ensure compliance with the following requirements while implementing the CIP:</w:t>
      </w:r>
    </w:p>
    <w:p w14:paraId="118FED28" w14:textId="22050851" w:rsidR="00C31ED8" w:rsidRPr="00810505" w:rsidRDefault="00C31ED8">
      <w:pPr>
        <w:pStyle w:val="ListParagraph"/>
        <w:numPr>
          <w:ilvl w:val="0"/>
          <w:numId w:val="6"/>
        </w:numPr>
        <w:jc w:val="both"/>
        <w:rPr>
          <w:rFonts w:ascii="Bookman Old Style" w:hAnsi="Bookman Old Style" w:cs="Arial"/>
        </w:rPr>
      </w:pPr>
      <w:r w:rsidRPr="00810505">
        <w:rPr>
          <w:rFonts w:ascii="Bookman Old Style" w:hAnsi="Bookman Old Style" w:cs="Arial"/>
          <w:b/>
          <w:bCs/>
        </w:rPr>
        <w:t>Politically Exposed Persons (PEP) Identification</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proactively establish appropriate risk management systems to determine if the client, potential client, or beneficial owner is a Politically Exposed Person (PEP). The procedures will include:</w:t>
      </w:r>
    </w:p>
    <w:p w14:paraId="5989CCF4"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Seeking relevant information from the client,</w:t>
      </w:r>
    </w:p>
    <w:p w14:paraId="16889A0A"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Referring to publicly available information,</w:t>
      </w:r>
    </w:p>
    <w:p w14:paraId="118A2C9B"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Accessing commercial electronic databases of PEPs.</w:t>
      </w:r>
    </w:p>
    <w:p w14:paraId="7CDDE7E8" w14:textId="692A922F" w:rsidR="00C31ED8" w:rsidRPr="00810505" w:rsidRDefault="00C31ED8">
      <w:pPr>
        <w:pStyle w:val="ListParagraph"/>
        <w:numPr>
          <w:ilvl w:val="0"/>
          <w:numId w:val="6"/>
        </w:numPr>
        <w:jc w:val="both"/>
        <w:rPr>
          <w:rFonts w:ascii="Bookman Old Style" w:hAnsi="Bookman Old Style" w:cs="Arial"/>
        </w:rPr>
      </w:pPr>
      <w:r w:rsidRPr="00810505">
        <w:rPr>
          <w:rFonts w:ascii="Bookman Old Style" w:hAnsi="Bookman Old Style" w:cs="Arial"/>
          <w:b/>
          <w:bCs/>
        </w:rPr>
        <w:t>Senior Management Approval for PEPs</w:t>
      </w:r>
    </w:p>
    <w:p w14:paraId="6816B8EC" w14:textId="07C6163D" w:rsidR="00C31ED8" w:rsidRPr="00810505" w:rsidRDefault="002E7AC9">
      <w:pPr>
        <w:numPr>
          <w:ilvl w:val="1"/>
          <w:numId w:val="5"/>
        </w:numPr>
        <w:jc w:val="both"/>
        <w:rPr>
          <w:rFonts w:ascii="Bookman Old Style" w:hAnsi="Bookman Old Style" w:cs="Arial"/>
        </w:rPr>
      </w:pPr>
      <w:r w:rsidRPr="00810505">
        <w:rPr>
          <w:rFonts w:ascii="Bookman Old Style" w:hAnsi="Bookman Old Style" w:cs="Arial"/>
        </w:rPr>
        <w:lastRenderedPageBreak/>
        <w:t>Portfolio Manager</w:t>
      </w:r>
      <w:r w:rsidR="00C31ED8" w:rsidRPr="00810505">
        <w:rPr>
          <w:rFonts w:ascii="Bookman Old Style" w:hAnsi="Bookman Old Style" w:cs="Arial"/>
        </w:rPr>
        <w:t xml:space="preserve"> shall obtain senior management approval to establish business relationships with PEPs.</w:t>
      </w:r>
    </w:p>
    <w:p w14:paraId="4AC12980"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If a client or beneficial owner is found to be, or becomes, a PEP after the relationship is established, senior management approval shall be obtained to continue the business relationship.</w:t>
      </w:r>
    </w:p>
    <w:p w14:paraId="6F61DF53" w14:textId="75C8DD18" w:rsidR="00C31ED8" w:rsidRPr="00810505" w:rsidRDefault="00C31ED8">
      <w:pPr>
        <w:pStyle w:val="ListParagraph"/>
        <w:numPr>
          <w:ilvl w:val="0"/>
          <w:numId w:val="6"/>
        </w:numPr>
        <w:spacing w:before="120" w:after="120"/>
        <w:ind w:left="533" w:firstLine="0"/>
        <w:contextualSpacing w:val="0"/>
        <w:jc w:val="both"/>
        <w:rPr>
          <w:rFonts w:ascii="Bookman Old Style" w:hAnsi="Bookman Old Style" w:cs="Arial"/>
        </w:rPr>
      </w:pPr>
      <w:r w:rsidRPr="00810505">
        <w:rPr>
          <w:rFonts w:ascii="Bookman Old Style" w:hAnsi="Bookman Old Style" w:cs="Arial"/>
          <w:b/>
          <w:bCs/>
        </w:rPr>
        <w:t>Verification of Sources of Funds and Wealth for PEPs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take reasonable measures to verify the sources of funds and wealth of clients and beneficial owners identified as PEPs.</w:t>
      </w:r>
    </w:p>
    <w:p w14:paraId="18C16C77" w14:textId="102D067B" w:rsidR="00C31ED8" w:rsidRPr="00810505" w:rsidRDefault="00C31ED8">
      <w:pPr>
        <w:pStyle w:val="ListParagraph"/>
        <w:numPr>
          <w:ilvl w:val="0"/>
          <w:numId w:val="6"/>
        </w:numPr>
        <w:spacing w:after="120"/>
        <w:ind w:left="533" w:firstLine="0"/>
        <w:contextualSpacing w:val="0"/>
        <w:jc w:val="both"/>
        <w:rPr>
          <w:rFonts w:ascii="Bookman Old Style" w:hAnsi="Bookman Old Style" w:cs="Arial"/>
        </w:rPr>
      </w:pPr>
      <w:r w:rsidRPr="00810505">
        <w:rPr>
          <w:rFonts w:ascii="Bookman Old Style" w:hAnsi="Bookman Old Style" w:cs="Arial"/>
          <w:b/>
          <w:bCs/>
        </w:rPr>
        <w:t>Client Identification and Information Collection</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identify each client using reliable sources of information and documents. Adequate information will be obtained to clearly establish the identity of each new client and the purpose of the intended business relationship.</w:t>
      </w:r>
    </w:p>
    <w:p w14:paraId="4F6AC7B4" w14:textId="3FF072ED" w:rsidR="00C31ED8" w:rsidRPr="00810505" w:rsidRDefault="00C31ED8">
      <w:pPr>
        <w:pStyle w:val="ListParagraph"/>
        <w:numPr>
          <w:ilvl w:val="0"/>
          <w:numId w:val="6"/>
        </w:numPr>
        <w:spacing w:after="120"/>
        <w:ind w:left="533" w:firstLine="0"/>
        <w:contextualSpacing w:val="0"/>
        <w:jc w:val="both"/>
        <w:rPr>
          <w:rFonts w:ascii="Bookman Old Style" w:hAnsi="Bookman Old Style" w:cs="Arial"/>
        </w:rPr>
      </w:pPr>
      <w:r w:rsidRPr="00810505">
        <w:rPr>
          <w:rFonts w:ascii="Bookman Old Style" w:hAnsi="Bookman Old Style" w:cs="Arial"/>
          <w:b/>
          <w:bCs/>
        </w:rPr>
        <w:t>Adequacy of Information for Regulatory Scrutiny</w:t>
      </w:r>
      <w:r w:rsidRPr="00810505">
        <w:rPr>
          <w:rFonts w:ascii="Bookman Old Style" w:hAnsi="Bookman Old Style" w:cs="Arial"/>
        </w:rPr>
        <w:t>: The information obtained must be sufficient to satisfy regulatory and enforcement authorities that due diligence was observed. Original documents must be examined before accepting a copy.</w:t>
      </w:r>
    </w:p>
    <w:p w14:paraId="4E7C2041" w14:textId="00F39286" w:rsidR="00C31ED8" w:rsidRPr="00810505" w:rsidRDefault="00C31ED8">
      <w:pPr>
        <w:pStyle w:val="ListParagraph"/>
        <w:numPr>
          <w:ilvl w:val="0"/>
          <w:numId w:val="6"/>
        </w:numPr>
        <w:spacing w:after="120"/>
        <w:ind w:left="533" w:firstLine="0"/>
        <w:contextualSpacing w:val="0"/>
        <w:jc w:val="both"/>
        <w:rPr>
          <w:rFonts w:ascii="Bookman Old Style" w:hAnsi="Bookman Old Style" w:cs="Arial"/>
        </w:rPr>
      </w:pPr>
      <w:r w:rsidRPr="00810505">
        <w:rPr>
          <w:rFonts w:ascii="Bookman Old Style" w:hAnsi="Bookman Old Style" w:cs="Arial"/>
          <w:b/>
          <w:bCs/>
        </w:rPr>
        <w:t>Non-compliance by Prospective Clients</w:t>
      </w:r>
      <w:r w:rsidRPr="00810505">
        <w:rPr>
          <w:rFonts w:ascii="Bookman Old Style" w:hAnsi="Bookman Old Style" w:cs="Arial"/>
        </w:rPr>
        <w:t xml:space="preserve">: In the event that a prospective client fails to provide satisfactory evidence of identity, this shall be noted and reported to the higher authorities within </w:t>
      </w:r>
      <w:r w:rsidR="002E7AC9" w:rsidRPr="00810505">
        <w:rPr>
          <w:rFonts w:ascii="Bookman Old Style" w:hAnsi="Bookman Old Style" w:cs="Arial"/>
        </w:rPr>
        <w:t>Portfolio Manager</w:t>
      </w:r>
      <w:r w:rsidRPr="00810505">
        <w:rPr>
          <w:rFonts w:ascii="Bookman Old Style" w:hAnsi="Bookman Old Style" w:cs="Arial"/>
        </w:rPr>
        <w:t xml:space="preserve"> for further action.</w:t>
      </w:r>
    </w:p>
    <w:p w14:paraId="0AEE2B9E" w14:textId="160C0593"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t>KYC Compliance</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adhere to the minimum KYC requirements specified by SEBI and any subsequent amendments. Based on these requirements, </w:t>
      </w:r>
      <w:r w:rsidR="002E7AC9" w:rsidRPr="00810505">
        <w:rPr>
          <w:rFonts w:ascii="Bookman Old Style" w:hAnsi="Bookman Old Style" w:cs="Arial"/>
        </w:rPr>
        <w:t>Portfolio Manager</w:t>
      </w:r>
      <w:r w:rsidRPr="00810505">
        <w:rPr>
          <w:rFonts w:ascii="Bookman Old Style" w:hAnsi="Bookman Old Style" w:cs="Arial"/>
        </w:rPr>
        <w:t xml:space="preserve"> shall develop and implement its own internal directives in line with its experience in dealing with clients and legal obligations.</w:t>
      </w:r>
    </w:p>
    <w:p w14:paraId="6E0C033E" w14:textId="2B5C50D7"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t>Ongoing Due Diligence</w:t>
      </w:r>
      <w:r w:rsidR="0038469F"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conduct ongoing due diligence, especially when inconsistencies are noticed in the information provided by the client. The objective is to comply with the requirements of the Prevention of Money Laundering Act (PMLA), the SEBI Act, and any other applicable regulations and directives to ensure that </w:t>
      </w:r>
      <w:r w:rsidR="002E7AC9" w:rsidRPr="00810505">
        <w:rPr>
          <w:rFonts w:ascii="Bookman Old Style" w:hAnsi="Bookman Old Style" w:cs="Arial"/>
        </w:rPr>
        <w:t>Portfolio Manager</w:t>
      </w:r>
      <w:r w:rsidRPr="00810505">
        <w:rPr>
          <w:rFonts w:ascii="Bookman Old Style" w:hAnsi="Bookman Old Style" w:cs="Arial"/>
        </w:rPr>
        <w:t xml:space="preserve"> is aware of the clients it is dealing with.</w:t>
      </w:r>
    </w:p>
    <w:p w14:paraId="5DE5603A" w14:textId="0B11B013"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t>CIP and PML Rules Compliance</w:t>
      </w:r>
      <w:r w:rsidR="0038469F"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formulate and implement a Client Identification Procedure (CIP) that complies with the requirements of the PML Rules Notification No. 9/2005 dated July 01, 2005, as amended. This includes:</w:t>
      </w:r>
    </w:p>
    <w:p w14:paraId="43A970E7"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Maintenance of records regarding the nature and value of transactions,</w:t>
      </w:r>
    </w:p>
    <w:p w14:paraId="565D33F8"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Procedures for maintaining and furnishing information and verifying the records of client identity,</w:t>
      </w:r>
    </w:p>
    <w:p w14:paraId="509F9A11" w14:textId="77777777" w:rsidR="00C31ED8" w:rsidRPr="00810505" w:rsidRDefault="00C31ED8">
      <w:pPr>
        <w:numPr>
          <w:ilvl w:val="1"/>
          <w:numId w:val="5"/>
        </w:numPr>
        <w:jc w:val="both"/>
        <w:rPr>
          <w:rFonts w:ascii="Bookman Old Style" w:hAnsi="Bookman Old Style" w:cs="Arial"/>
        </w:rPr>
      </w:pPr>
      <w:r w:rsidRPr="00810505">
        <w:rPr>
          <w:rFonts w:ascii="Bookman Old Style" w:hAnsi="Bookman Old Style" w:cs="Arial"/>
        </w:rPr>
        <w:t>Ensuring full compliance with SEBI and PMLA regulations, regardless of the investment amount made by clients.</w:t>
      </w:r>
    </w:p>
    <w:p w14:paraId="15E66A60" w14:textId="15AF8361" w:rsidR="00C31ED8" w:rsidRPr="00810505" w:rsidRDefault="002E7AC9" w:rsidP="00FC23D3">
      <w:pPr>
        <w:ind w:left="90"/>
        <w:jc w:val="both"/>
        <w:rPr>
          <w:rFonts w:ascii="Bookman Old Style" w:hAnsi="Bookman Old Style" w:cs="Arial"/>
        </w:rPr>
      </w:pPr>
      <w:r w:rsidRPr="00810505">
        <w:rPr>
          <w:rFonts w:ascii="Bookman Old Style" w:hAnsi="Bookman Old Style" w:cs="Arial"/>
        </w:rPr>
        <w:t>Portfolio Manager</w:t>
      </w:r>
      <w:r w:rsidR="00C31ED8" w:rsidRPr="00810505">
        <w:rPr>
          <w:rFonts w:ascii="Bookman Old Style" w:hAnsi="Bookman Old Style" w:cs="Arial"/>
        </w:rPr>
        <w:t xml:space="preserve"> shall not have any minimum threshold or exemptions available for obtaining the necessary information/documents from clients as prescribed by the PML Rules or SEBI Circulars. No category of clients will be exempt from undergoing the full Customer Due Diligence (CDD) process</w:t>
      </w:r>
      <w:r w:rsidR="001D012E" w:rsidRPr="00810505">
        <w:rPr>
          <w:rFonts w:ascii="Bookman Old Style" w:hAnsi="Bookman Old Style" w:cs="Arial"/>
        </w:rPr>
        <w:t xml:space="preserve"> and </w:t>
      </w:r>
      <w:r w:rsidR="001A3625" w:rsidRPr="00810505">
        <w:rPr>
          <w:rFonts w:ascii="Bookman Old Style" w:hAnsi="Bookman Old Style" w:cs="Arial"/>
        </w:rPr>
        <w:t xml:space="preserve">this shall be strictly implemented by </w:t>
      </w:r>
      <w:r w:rsidRPr="00810505">
        <w:rPr>
          <w:rFonts w:ascii="Bookman Old Style" w:hAnsi="Bookman Old Style" w:cs="Arial"/>
        </w:rPr>
        <w:t>Portfolio Manager</w:t>
      </w:r>
      <w:r w:rsidR="001A3625" w:rsidRPr="00810505">
        <w:rPr>
          <w:rFonts w:ascii="Bookman Old Style" w:hAnsi="Bookman Old Style" w:cs="Arial"/>
        </w:rPr>
        <w:t>.</w:t>
      </w:r>
    </w:p>
    <w:p w14:paraId="438BA371" w14:textId="57D80AEA" w:rsidR="00C31ED8" w:rsidRPr="00810505" w:rsidRDefault="00C31ED8">
      <w:pPr>
        <w:numPr>
          <w:ilvl w:val="0"/>
          <w:numId w:val="5"/>
        </w:numPr>
        <w:jc w:val="both"/>
        <w:rPr>
          <w:rFonts w:ascii="Bookman Old Style" w:hAnsi="Bookman Old Style" w:cs="Arial"/>
        </w:rPr>
      </w:pPr>
      <w:r w:rsidRPr="00810505">
        <w:rPr>
          <w:rFonts w:ascii="Bookman Old Style" w:hAnsi="Bookman Old Style" w:cs="Arial"/>
          <w:b/>
          <w:bCs/>
        </w:rPr>
        <w:lastRenderedPageBreak/>
        <w:t>Non-compliance Consequences</w:t>
      </w:r>
      <w:r w:rsidR="00F218C1" w:rsidRPr="00810505">
        <w:rPr>
          <w:rFonts w:ascii="Bookman Old Style" w:hAnsi="Bookman Old Style" w:cs="Arial"/>
        </w:rPr>
        <w:t xml:space="preserve">: </w:t>
      </w:r>
      <w:r w:rsidRPr="00810505">
        <w:rPr>
          <w:rFonts w:ascii="Bookman Old Style" w:hAnsi="Bookman Old Style" w:cs="Arial"/>
        </w:rPr>
        <w:t>Any non-compliance with the above CIP policy shall result in appropriate sanctions, in accordance with the regulatory framework and applicable guidelines.</w:t>
      </w:r>
    </w:p>
    <w:p w14:paraId="75EAF5C0" w14:textId="0E253971" w:rsidR="00C90AAC" w:rsidRPr="00810505" w:rsidRDefault="00912754" w:rsidP="00FC23D3">
      <w:pPr>
        <w:pStyle w:val="Heading1"/>
        <w:jc w:val="both"/>
        <w:rPr>
          <w:rFonts w:ascii="Bookman Old Style" w:hAnsi="Bookman Old Style" w:cs="Arial"/>
          <w:sz w:val="20"/>
          <w:szCs w:val="20"/>
        </w:rPr>
      </w:pPr>
      <w:bookmarkStart w:id="12" w:name="_Toc229159936"/>
      <w:r w:rsidRPr="00810505">
        <w:rPr>
          <w:rFonts w:ascii="Bookman Old Style" w:hAnsi="Bookman Old Style" w:cs="Arial"/>
          <w:sz w:val="20"/>
          <w:szCs w:val="20"/>
        </w:rPr>
        <w:t>Reliance on Third Party for Carrying Out Client Due Diligence (CDD)</w:t>
      </w:r>
      <w:bookmarkEnd w:id="12"/>
    </w:p>
    <w:p w14:paraId="6CD31630" w14:textId="56C4A1CA" w:rsidR="0085157E" w:rsidRPr="00810505" w:rsidRDefault="0085157E" w:rsidP="00FC23D3">
      <w:pPr>
        <w:jc w:val="both"/>
        <w:rPr>
          <w:rFonts w:ascii="Bookman Old Style" w:hAnsi="Bookman Old Style" w:cs="Arial"/>
        </w:rPr>
      </w:pPr>
      <w:r w:rsidRPr="00810505">
        <w:rPr>
          <w:rFonts w:ascii="Bookman Old Style" w:hAnsi="Bookman Old Style" w:cs="Arial"/>
          <w:b/>
          <w:bCs/>
        </w:rPr>
        <w:t>Third-Party Reliance for Client Due Diligence (CDD)</w:t>
      </w:r>
      <w:r w:rsidR="002B4C8A"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may, under specific circumstances, rely on a third party for the following aspects of the Client Due Diligence (CDD) process:</w:t>
      </w:r>
    </w:p>
    <w:p w14:paraId="7907261F" w14:textId="77777777" w:rsidR="0085157E" w:rsidRPr="00810505" w:rsidRDefault="0085157E">
      <w:pPr>
        <w:numPr>
          <w:ilvl w:val="1"/>
          <w:numId w:val="7"/>
        </w:numPr>
        <w:tabs>
          <w:tab w:val="clear" w:pos="990"/>
          <w:tab w:val="num" w:pos="630"/>
        </w:tabs>
        <w:ind w:left="709"/>
        <w:jc w:val="both"/>
        <w:rPr>
          <w:rFonts w:ascii="Bookman Old Style" w:hAnsi="Bookman Old Style" w:cs="Arial"/>
        </w:rPr>
      </w:pPr>
      <w:r w:rsidRPr="00810505">
        <w:rPr>
          <w:rFonts w:ascii="Bookman Old Style" w:hAnsi="Bookman Old Style" w:cs="Arial"/>
          <w:b/>
          <w:bCs/>
        </w:rPr>
        <w:t>Identification and verification</w:t>
      </w:r>
      <w:r w:rsidRPr="00810505">
        <w:rPr>
          <w:rFonts w:ascii="Bookman Old Style" w:hAnsi="Bookman Old Style" w:cs="Arial"/>
        </w:rPr>
        <w:t xml:space="preserve"> of the client’s identity.</w:t>
      </w:r>
    </w:p>
    <w:p w14:paraId="224E68AD" w14:textId="46EF34F9" w:rsidR="0085157E" w:rsidRPr="00810505" w:rsidRDefault="0085157E">
      <w:pPr>
        <w:numPr>
          <w:ilvl w:val="1"/>
          <w:numId w:val="7"/>
        </w:numPr>
        <w:tabs>
          <w:tab w:val="clear" w:pos="990"/>
          <w:tab w:val="num" w:pos="630"/>
        </w:tabs>
        <w:ind w:left="709"/>
        <w:jc w:val="both"/>
        <w:rPr>
          <w:rFonts w:ascii="Bookman Old Style" w:hAnsi="Bookman Old Style" w:cs="Arial"/>
        </w:rPr>
      </w:pPr>
      <w:r w:rsidRPr="00810505">
        <w:rPr>
          <w:rFonts w:ascii="Bookman Old Style" w:hAnsi="Bookman Old Style" w:cs="Arial"/>
          <w:b/>
          <w:bCs/>
        </w:rPr>
        <w:t>Determination of whether the client is acting on behalf of a beneficial owner</w:t>
      </w:r>
      <w:r w:rsidRPr="00810505">
        <w:rPr>
          <w:rFonts w:ascii="Bookman Old Style" w:hAnsi="Bookman Old Style" w:cs="Arial"/>
        </w:rPr>
        <w:t xml:space="preserve">, </w:t>
      </w:r>
      <w:r w:rsidR="00FA5F1F" w:rsidRPr="00810505">
        <w:rPr>
          <w:rFonts w:ascii="Bookman Old Style" w:hAnsi="Bookman Old Style" w:cs="Arial"/>
        </w:rPr>
        <w:t>identification of the beneficial owner, and verification of the identity of the beneficial owner. Such third party shall be regulated, supervised, or monitored for, and have measures in place for compliance with CDD and record-keeping requirements in line with the obligations under the PML Act</w:t>
      </w:r>
    </w:p>
    <w:p w14:paraId="4E089EEB" w14:textId="5213C313" w:rsidR="0085157E" w:rsidRPr="00810505" w:rsidRDefault="0085157E" w:rsidP="00FC23D3">
      <w:pPr>
        <w:jc w:val="both"/>
        <w:rPr>
          <w:rFonts w:ascii="Bookman Old Style" w:hAnsi="Bookman Old Style" w:cs="Arial"/>
        </w:rPr>
      </w:pPr>
      <w:r w:rsidRPr="00810505">
        <w:rPr>
          <w:rFonts w:ascii="Bookman Old Style" w:hAnsi="Bookman Old Style" w:cs="Arial"/>
          <w:b/>
          <w:bCs/>
        </w:rPr>
        <w:t>Conditions for Reliance on Third Party (as per Rule 9(2) of PML Rules)</w:t>
      </w:r>
      <w:r w:rsidR="002B4C8A" w:rsidRPr="00810505">
        <w:rPr>
          <w:rFonts w:ascii="Bookman Old Style" w:hAnsi="Bookman Old Style" w:cs="Arial"/>
        </w:rPr>
        <w:t xml:space="preserve">: </w:t>
      </w:r>
      <w:r w:rsidRPr="00810505">
        <w:rPr>
          <w:rFonts w:ascii="Bookman Old Style" w:hAnsi="Bookman Old Style" w:cs="Arial"/>
        </w:rPr>
        <w:t xml:space="preserve">Any reliance on a third party for CDD shall be subject to the conditions outlined in Rule 9(2) of the PML Rules and the relevant regulations, circulars, and guidelines issued by SEBI. </w:t>
      </w:r>
      <w:r w:rsidR="00B30007" w:rsidRPr="00810505">
        <w:rPr>
          <w:rFonts w:ascii="Bookman Old Style" w:hAnsi="Bookman Old Style" w:cs="Arial"/>
        </w:rPr>
        <w:t xml:space="preserve">In terms </w:t>
      </w:r>
      <w:r w:rsidR="008F1B01" w:rsidRPr="00810505">
        <w:rPr>
          <w:rFonts w:ascii="Bookman Old Style" w:hAnsi="Bookman Old Style" w:cs="Arial"/>
        </w:rPr>
        <w:t>of Rule9(2) of PML Rules:</w:t>
      </w:r>
    </w:p>
    <w:p w14:paraId="3BC57304" w14:textId="31DD9109" w:rsidR="0085157E" w:rsidRPr="00810505" w:rsidRDefault="0085157E">
      <w:pPr>
        <w:pStyle w:val="ListParagraph"/>
        <w:numPr>
          <w:ilvl w:val="0"/>
          <w:numId w:val="8"/>
        </w:numPr>
        <w:jc w:val="both"/>
        <w:rPr>
          <w:rFonts w:ascii="Bookman Old Style" w:hAnsi="Bookman Old Style" w:cs="Arial"/>
        </w:rPr>
      </w:pPr>
      <w:r w:rsidRPr="00810505">
        <w:rPr>
          <w:rFonts w:ascii="Bookman Old Style" w:hAnsi="Bookman Old Style" w:cs="Arial"/>
          <w:b/>
          <w:bCs/>
        </w:rPr>
        <w:t>Obtaining Information on CDD from Third Party</w:t>
      </w:r>
    </w:p>
    <w:p w14:paraId="20DA2B89" w14:textId="4BB87B72" w:rsidR="0085157E" w:rsidRPr="00810505" w:rsidRDefault="002E7AC9">
      <w:pPr>
        <w:numPr>
          <w:ilvl w:val="1"/>
          <w:numId w:val="7"/>
        </w:numPr>
        <w:jc w:val="both"/>
        <w:rPr>
          <w:rFonts w:ascii="Bookman Old Style" w:hAnsi="Bookman Old Style" w:cs="Arial"/>
        </w:rPr>
      </w:pPr>
      <w:r w:rsidRPr="00810505">
        <w:rPr>
          <w:rFonts w:ascii="Bookman Old Style" w:hAnsi="Bookman Old Style" w:cs="Arial"/>
        </w:rPr>
        <w:t>Portfolio Manager</w:t>
      </w:r>
      <w:r w:rsidR="0085157E" w:rsidRPr="00810505">
        <w:rPr>
          <w:rFonts w:ascii="Bookman Old Style" w:hAnsi="Bookman Old Style" w:cs="Arial"/>
        </w:rPr>
        <w:t xml:space="preserve"> shall immediately obtain necessary information regarding the client due diligence carried out by the third party.</w:t>
      </w:r>
    </w:p>
    <w:p w14:paraId="6CC4DA65" w14:textId="7D0900D8" w:rsidR="0085157E" w:rsidRPr="00810505" w:rsidRDefault="0085157E">
      <w:pPr>
        <w:pStyle w:val="ListParagraph"/>
        <w:numPr>
          <w:ilvl w:val="0"/>
          <w:numId w:val="8"/>
        </w:numPr>
        <w:jc w:val="both"/>
        <w:rPr>
          <w:rFonts w:ascii="Bookman Old Style" w:hAnsi="Bookman Old Style" w:cs="Arial"/>
        </w:rPr>
      </w:pPr>
      <w:r w:rsidRPr="00810505">
        <w:rPr>
          <w:rFonts w:ascii="Bookman Old Style" w:hAnsi="Bookman Old Style" w:cs="Arial"/>
          <w:b/>
          <w:bCs/>
        </w:rPr>
        <w:t>Availability of Documentation upon Request</w:t>
      </w:r>
    </w:p>
    <w:p w14:paraId="56FB344D" w14:textId="538224FD" w:rsidR="0085157E" w:rsidRPr="00810505" w:rsidRDefault="002E7AC9">
      <w:pPr>
        <w:numPr>
          <w:ilvl w:val="1"/>
          <w:numId w:val="7"/>
        </w:numPr>
        <w:jc w:val="both"/>
        <w:rPr>
          <w:rFonts w:ascii="Bookman Old Style" w:hAnsi="Bookman Old Style" w:cs="Arial"/>
        </w:rPr>
      </w:pPr>
      <w:r w:rsidRPr="00810505">
        <w:rPr>
          <w:rFonts w:ascii="Bookman Old Style" w:hAnsi="Bookman Old Style" w:cs="Arial"/>
        </w:rPr>
        <w:t>Portfolio Manager</w:t>
      </w:r>
      <w:r w:rsidR="0085157E" w:rsidRPr="00810505">
        <w:rPr>
          <w:rFonts w:ascii="Bookman Old Style" w:hAnsi="Bookman Old Style" w:cs="Arial"/>
        </w:rPr>
        <w:t xml:space="preserve"> shall take adequate steps to ensure that the third party will provide copies of identification data and other relevant documentation related to client due diligence upon request, without delay.</w:t>
      </w:r>
    </w:p>
    <w:p w14:paraId="7E123F1E" w14:textId="6F720CAE" w:rsidR="0085157E" w:rsidRPr="00810505" w:rsidRDefault="0085157E">
      <w:pPr>
        <w:pStyle w:val="ListParagraph"/>
        <w:numPr>
          <w:ilvl w:val="0"/>
          <w:numId w:val="8"/>
        </w:numPr>
        <w:jc w:val="both"/>
        <w:rPr>
          <w:rFonts w:ascii="Bookman Old Style" w:hAnsi="Bookman Old Style" w:cs="Arial"/>
        </w:rPr>
      </w:pPr>
      <w:r w:rsidRPr="00810505">
        <w:rPr>
          <w:rFonts w:ascii="Bookman Old Style" w:hAnsi="Bookman Old Style" w:cs="Arial"/>
          <w:b/>
          <w:bCs/>
        </w:rPr>
        <w:t>Third Party’s Compliance Measures</w:t>
      </w:r>
    </w:p>
    <w:p w14:paraId="1D0C573D" w14:textId="09E9946C" w:rsidR="0085157E" w:rsidRPr="00810505" w:rsidRDefault="002E7AC9">
      <w:pPr>
        <w:numPr>
          <w:ilvl w:val="1"/>
          <w:numId w:val="7"/>
        </w:numPr>
        <w:jc w:val="both"/>
        <w:rPr>
          <w:rFonts w:ascii="Bookman Old Style" w:hAnsi="Bookman Old Style" w:cs="Arial"/>
        </w:rPr>
      </w:pPr>
      <w:r w:rsidRPr="00810505">
        <w:rPr>
          <w:rFonts w:ascii="Bookman Old Style" w:hAnsi="Bookman Old Style" w:cs="Arial"/>
        </w:rPr>
        <w:t>Portfolio Manager</w:t>
      </w:r>
      <w:r w:rsidR="0085157E" w:rsidRPr="00810505">
        <w:rPr>
          <w:rFonts w:ascii="Bookman Old Style" w:hAnsi="Bookman Old Style" w:cs="Arial"/>
        </w:rPr>
        <w:t xml:space="preserve"> shall confirm that the third party is regulated, supervised, or monitored, and has the necessary measures in place to comply with client due diligence and record-keeping requirements in accordance with the PML Act.</w:t>
      </w:r>
    </w:p>
    <w:p w14:paraId="7D7B8404" w14:textId="2A63DA0D" w:rsidR="0085157E" w:rsidRPr="00810505" w:rsidRDefault="0085157E">
      <w:pPr>
        <w:pStyle w:val="ListParagraph"/>
        <w:numPr>
          <w:ilvl w:val="0"/>
          <w:numId w:val="8"/>
        </w:numPr>
        <w:jc w:val="both"/>
        <w:rPr>
          <w:rFonts w:ascii="Bookman Old Style" w:hAnsi="Bookman Old Style" w:cs="Arial"/>
        </w:rPr>
      </w:pPr>
      <w:r w:rsidRPr="00810505">
        <w:rPr>
          <w:rFonts w:ascii="Bookman Old Style" w:hAnsi="Bookman Old Style" w:cs="Arial"/>
          <w:b/>
          <w:bCs/>
        </w:rPr>
        <w:t>Jurisdictional Risk Assessment</w:t>
      </w:r>
    </w:p>
    <w:p w14:paraId="06848AE3" w14:textId="4B810E99" w:rsidR="0085157E" w:rsidRPr="00810505" w:rsidRDefault="0085157E">
      <w:pPr>
        <w:numPr>
          <w:ilvl w:val="1"/>
          <w:numId w:val="7"/>
        </w:numPr>
        <w:jc w:val="both"/>
        <w:rPr>
          <w:rFonts w:ascii="Bookman Old Style" w:hAnsi="Bookman Old Style" w:cs="Arial"/>
        </w:rPr>
      </w:pPr>
      <w:r w:rsidRPr="00810505">
        <w:rPr>
          <w:rFonts w:ascii="Bookman Old Style" w:hAnsi="Bookman Old Style" w:cs="Arial"/>
        </w:rPr>
        <w:t>The third party must not be based in a country or jurisdiction that is assessed as high risk</w:t>
      </w:r>
      <w:r w:rsidR="001B00C7" w:rsidRPr="00810505">
        <w:rPr>
          <w:rFonts w:ascii="Bookman Old Style" w:hAnsi="Bookman Old Style" w:cs="Arial"/>
        </w:rPr>
        <w:t>.</w:t>
      </w:r>
    </w:p>
    <w:p w14:paraId="25D0DCA4" w14:textId="69C63158" w:rsidR="0085157E" w:rsidRPr="00810505" w:rsidRDefault="0085157E">
      <w:pPr>
        <w:pStyle w:val="ListParagraph"/>
        <w:numPr>
          <w:ilvl w:val="0"/>
          <w:numId w:val="8"/>
        </w:numPr>
        <w:jc w:val="both"/>
        <w:rPr>
          <w:rFonts w:ascii="Bookman Old Style" w:hAnsi="Bookman Old Style" w:cs="Arial"/>
        </w:rPr>
      </w:pPr>
      <w:r w:rsidRPr="00810505">
        <w:rPr>
          <w:rFonts w:ascii="Bookman Old Style" w:hAnsi="Bookman Old Style" w:cs="Arial"/>
          <w:b/>
          <w:bCs/>
        </w:rPr>
        <w:t>Ultimate Responsibility for CDD</w:t>
      </w:r>
    </w:p>
    <w:p w14:paraId="58AD3F91" w14:textId="071003DB" w:rsidR="0085157E" w:rsidRPr="00810505" w:rsidRDefault="002E7AC9">
      <w:pPr>
        <w:numPr>
          <w:ilvl w:val="1"/>
          <w:numId w:val="7"/>
        </w:numPr>
        <w:jc w:val="both"/>
        <w:rPr>
          <w:rFonts w:ascii="Bookman Old Style" w:hAnsi="Bookman Old Style" w:cs="Arial"/>
        </w:rPr>
      </w:pPr>
      <w:r w:rsidRPr="00810505">
        <w:rPr>
          <w:rFonts w:ascii="Bookman Old Style" w:hAnsi="Bookman Old Style" w:cs="Arial"/>
        </w:rPr>
        <w:t>Portfolio Manager</w:t>
      </w:r>
      <w:r w:rsidR="0085157E" w:rsidRPr="00810505">
        <w:rPr>
          <w:rFonts w:ascii="Bookman Old Style" w:hAnsi="Bookman Old Style" w:cs="Arial"/>
        </w:rPr>
        <w:t xml:space="preserve"> shall remain ultimately responsible for performing CDD and ensuring that enhanced due diligence measures are applied as needed.</w:t>
      </w:r>
      <w:r w:rsidR="00C93DAB">
        <w:rPr>
          <w:rFonts w:ascii="Bookman Old Style" w:hAnsi="Bookman Old Style" w:cs="Arial"/>
        </w:rPr>
        <w:br/>
      </w:r>
    </w:p>
    <w:p w14:paraId="65D5A880" w14:textId="19CBA6C3" w:rsidR="00912754" w:rsidRPr="00810505" w:rsidRDefault="00E4078B" w:rsidP="00FC23D3">
      <w:pPr>
        <w:pStyle w:val="Heading1"/>
        <w:jc w:val="both"/>
        <w:rPr>
          <w:rFonts w:ascii="Bookman Old Style" w:hAnsi="Bookman Old Style" w:cs="Arial"/>
          <w:sz w:val="20"/>
          <w:szCs w:val="20"/>
        </w:rPr>
      </w:pPr>
      <w:bookmarkStart w:id="13" w:name="_Toc229159937"/>
      <w:r w:rsidRPr="00810505">
        <w:rPr>
          <w:rFonts w:ascii="Bookman Old Style" w:hAnsi="Bookman Old Style" w:cs="Arial"/>
          <w:sz w:val="20"/>
          <w:szCs w:val="20"/>
        </w:rPr>
        <w:lastRenderedPageBreak/>
        <w:t>Risk Management</w:t>
      </w:r>
      <w:bookmarkEnd w:id="13"/>
      <w:r w:rsidRPr="00810505">
        <w:rPr>
          <w:rFonts w:ascii="Bookman Old Style" w:hAnsi="Bookman Old Style" w:cs="Arial"/>
          <w:sz w:val="20"/>
          <w:szCs w:val="20"/>
        </w:rPr>
        <w:t xml:space="preserve"> </w:t>
      </w:r>
    </w:p>
    <w:p w14:paraId="2874960B" w14:textId="77777777" w:rsidR="002F5F1F" w:rsidRPr="00810505" w:rsidRDefault="00D874F1">
      <w:pPr>
        <w:pStyle w:val="ListParagraph"/>
        <w:numPr>
          <w:ilvl w:val="0"/>
          <w:numId w:val="15"/>
        </w:numPr>
        <w:jc w:val="both"/>
        <w:rPr>
          <w:rFonts w:ascii="Bookman Old Style" w:hAnsi="Bookman Old Style" w:cs="Arial"/>
          <w:b/>
          <w:bCs/>
          <w:u w:val="single"/>
        </w:rPr>
      </w:pPr>
      <w:r w:rsidRPr="00810505">
        <w:rPr>
          <w:rFonts w:ascii="Bookman Old Style" w:hAnsi="Bookman Old Style" w:cs="Arial"/>
          <w:b/>
          <w:bCs/>
          <w:u w:val="single"/>
        </w:rPr>
        <w:t>RISK-BASED APPROACH (RBA)</w:t>
      </w:r>
    </w:p>
    <w:p w14:paraId="0F7ABA00" w14:textId="0AEC7ED3" w:rsidR="00B639B6" w:rsidRPr="00810505" w:rsidRDefault="00B639B6" w:rsidP="002F5F1F">
      <w:pPr>
        <w:pStyle w:val="ListParagraph"/>
        <w:ind w:left="72"/>
        <w:jc w:val="both"/>
        <w:rPr>
          <w:rFonts w:ascii="Bookman Old Style" w:hAnsi="Bookman Old Style" w:cs="Arial"/>
          <w:b/>
          <w:bCs/>
          <w:u w:val="single"/>
        </w:rPr>
      </w:pPr>
    </w:p>
    <w:p w14:paraId="2AE2B245" w14:textId="553E540C" w:rsidR="00332A7E" w:rsidRPr="00810505" w:rsidRDefault="002E7AC9" w:rsidP="00FC23D3">
      <w:pPr>
        <w:pStyle w:val="ListParagraph"/>
        <w:ind w:left="72"/>
        <w:jc w:val="both"/>
        <w:rPr>
          <w:rFonts w:ascii="Bookman Old Style" w:hAnsi="Bookman Old Style" w:cs="Arial"/>
        </w:rPr>
      </w:pPr>
      <w:r w:rsidRPr="00810505">
        <w:rPr>
          <w:rFonts w:ascii="Bookman Old Style" w:hAnsi="Bookman Old Style" w:cs="Arial"/>
        </w:rPr>
        <w:t>Portfolio Manager</w:t>
      </w:r>
      <w:r w:rsidR="00332A7E" w:rsidRPr="00810505">
        <w:rPr>
          <w:rFonts w:ascii="Bookman Old Style" w:hAnsi="Bookman Old Style" w:cs="Arial"/>
        </w:rPr>
        <w:t xml:space="preserve"> shall adopt a Risk-Based Approach (RBA) to manage and mitigate identified risks, ensuring policies, controls, and procedures are approved by senior management. The key components of this approach include:</w:t>
      </w:r>
    </w:p>
    <w:p w14:paraId="55DDDAAE" w14:textId="3CF5960F" w:rsidR="00332A7E" w:rsidRPr="00810505" w:rsidRDefault="002E7AC9">
      <w:pPr>
        <w:numPr>
          <w:ilvl w:val="0"/>
          <w:numId w:val="9"/>
        </w:numPr>
        <w:jc w:val="both"/>
        <w:rPr>
          <w:rFonts w:ascii="Bookman Old Style" w:hAnsi="Bookman Old Style" w:cs="Arial"/>
        </w:rPr>
      </w:pPr>
      <w:r w:rsidRPr="00810505">
        <w:rPr>
          <w:rFonts w:ascii="Bookman Old Style" w:hAnsi="Bookman Old Style" w:cs="Arial"/>
        </w:rPr>
        <w:t>Portfolio Manager</w:t>
      </w:r>
      <w:r w:rsidR="00332A7E" w:rsidRPr="00810505">
        <w:rPr>
          <w:rFonts w:ascii="Bookman Old Style" w:hAnsi="Bookman Old Style" w:cs="Arial"/>
        </w:rPr>
        <w:t xml:space="preserve"> will have documented policies and controls in place, which will be regularly reviewed and updated as necessary to manage the risk effectively.</w:t>
      </w:r>
    </w:p>
    <w:p w14:paraId="3B1B2857" w14:textId="59D2DABF" w:rsidR="00332A7E" w:rsidRPr="00810505" w:rsidRDefault="00332A7E">
      <w:pPr>
        <w:numPr>
          <w:ilvl w:val="0"/>
          <w:numId w:val="9"/>
        </w:numPr>
        <w:jc w:val="both"/>
        <w:rPr>
          <w:rFonts w:ascii="Bookman Old Style" w:hAnsi="Bookman Old Style" w:cs="Arial"/>
        </w:rPr>
      </w:pPr>
      <w:r w:rsidRPr="00810505">
        <w:rPr>
          <w:rFonts w:ascii="Bookman Old Style" w:hAnsi="Bookman Old Style" w:cs="Arial"/>
        </w:rPr>
        <w:t>Continuous monitoring of the implementation of these controls will be conducted to ensure they are functioning effectively.</w:t>
      </w:r>
    </w:p>
    <w:p w14:paraId="1BE7775C" w14:textId="41B89C20" w:rsidR="00332A7E" w:rsidRPr="00810505" w:rsidRDefault="00332A7E" w:rsidP="00FC23D3">
      <w:pPr>
        <w:jc w:val="both"/>
        <w:rPr>
          <w:rFonts w:ascii="Bookman Old Style" w:hAnsi="Bookman Old Style" w:cs="Arial"/>
        </w:rPr>
      </w:pPr>
      <w:r w:rsidRPr="00810505">
        <w:rPr>
          <w:rFonts w:ascii="Bookman Old Style" w:hAnsi="Bookman Old Style" w:cs="Arial"/>
          <w:b/>
          <w:bCs/>
        </w:rPr>
        <w:t>Client Due Diligence Based on Risk Sensitivity</w:t>
      </w:r>
      <w:r w:rsidR="00B639B6" w:rsidRPr="00810505">
        <w:rPr>
          <w:rFonts w:ascii="Bookman Old Style" w:hAnsi="Bookman Old Style" w:cs="Arial"/>
        </w:rPr>
        <w:t xml:space="preserve">: </w:t>
      </w:r>
      <w:r w:rsidRPr="00810505">
        <w:rPr>
          <w:rFonts w:ascii="Bookman Old Style" w:hAnsi="Bookman Old Style" w:cs="Arial"/>
        </w:rPr>
        <w:t xml:space="preserve">Recognizing that clients pose varying levels of risk, </w:t>
      </w:r>
      <w:r w:rsidR="002E7AC9" w:rsidRPr="00810505">
        <w:rPr>
          <w:rFonts w:ascii="Bookman Old Style" w:hAnsi="Bookman Old Style" w:cs="Arial"/>
        </w:rPr>
        <w:t>Portfolio Manager</w:t>
      </w:r>
      <w:r w:rsidRPr="00810505">
        <w:rPr>
          <w:rFonts w:ascii="Bookman Old Style" w:hAnsi="Bookman Old Style" w:cs="Arial"/>
        </w:rPr>
        <w:t xml:space="preserve"> will apply client due diligence measures on a risk-sensitive basis. The principles of this approach include:</w:t>
      </w:r>
    </w:p>
    <w:p w14:paraId="19DAD187" w14:textId="77777777" w:rsidR="00332A7E" w:rsidRPr="00810505" w:rsidRDefault="00332A7E">
      <w:pPr>
        <w:numPr>
          <w:ilvl w:val="0"/>
          <w:numId w:val="10"/>
        </w:numPr>
        <w:jc w:val="both"/>
        <w:rPr>
          <w:rFonts w:ascii="Bookman Old Style" w:hAnsi="Bookman Old Style" w:cs="Arial"/>
        </w:rPr>
      </w:pPr>
      <w:r w:rsidRPr="00810505">
        <w:rPr>
          <w:rFonts w:ascii="Bookman Old Style" w:hAnsi="Bookman Old Style" w:cs="Arial"/>
          <w:b/>
          <w:bCs/>
        </w:rPr>
        <w:t>Enhanced Due Diligence (EDD)</w:t>
      </w:r>
      <w:r w:rsidRPr="00810505">
        <w:rPr>
          <w:rFonts w:ascii="Bookman Old Style" w:hAnsi="Bookman Old Style" w:cs="Arial"/>
        </w:rPr>
        <w:t xml:space="preserve"> will be applied to higher-risk clients, which may include clients with complex structures or from high-risk regions.</w:t>
      </w:r>
    </w:p>
    <w:p w14:paraId="7AA4D7FE" w14:textId="77777777" w:rsidR="00332A7E" w:rsidRPr="00810505" w:rsidRDefault="00332A7E">
      <w:pPr>
        <w:numPr>
          <w:ilvl w:val="0"/>
          <w:numId w:val="10"/>
        </w:numPr>
        <w:jc w:val="both"/>
        <w:rPr>
          <w:rFonts w:ascii="Bookman Old Style" w:hAnsi="Bookman Old Style" w:cs="Arial"/>
        </w:rPr>
      </w:pPr>
      <w:r w:rsidRPr="00810505">
        <w:rPr>
          <w:rFonts w:ascii="Bookman Old Style" w:hAnsi="Bookman Old Style" w:cs="Arial"/>
          <w:b/>
          <w:bCs/>
        </w:rPr>
        <w:t>Simplified Due Diligence (SDD)</w:t>
      </w:r>
      <w:r w:rsidRPr="00810505">
        <w:rPr>
          <w:rFonts w:ascii="Bookman Old Style" w:hAnsi="Bookman Old Style" w:cs="Arial"/>
        </w:rPr>
        <w:t xml:space="preserve"> may be applied to lower-risk clients, where the risk of money laundering or terrorist financing is minimal.</w:t>
      </w:r>
    </w:p>
    <w:p w14:paraId="20FF3512" w14:textId="77777777" w:rsidR="00332A7E" w:rsidRPr="00810505" w:rsidRDefault="00332A7E">
      <w:pPr>
        <w:numPr>
          <w:ilvl w:val="0"/>
          <w:numId w:val="10"/>
        </w:numPr>
        <w:jc w:val="both"/>
        <w:rPr>
          <w:rFonts w:ascii="Bookman Old Style" w:hAnsi="Bookman Old Style" w:cs="Arial"/>
        </w:rPr>
      </w:pPr>
      <w:r w:rsidRPr="00810505">
        <w:rPr>
          <w:rFonts w:ascii="Bookman Old Style" w:hAnsi="Bookman Old Style" w:cs="Arial"/>
          <w:b/>
          <w:bCs/>
        </w:rPr>
        <w:t>Tailored Information:</w:t>
      </w:r>
      <w:r w:rsidRPr="00810505">
        <w:rPr>
          <w:rFonts w:ascii="Bookman Old Style" w:hAnsi="Bookman Old Style" w:cs="Arial"/>
        </w:rPr>
        <w:t xml:space="preserve"> The type and volume of information required for identification and verification will be proportional to the risk category of the client.</w:t>
      </w:r>
    </w:p>
    <w:p w14:paraId="79A3A883" w14:textId="2B2AB44A" w:rsidR="00332A7E" w:rsidRPr="00810505" w:rsidRDefault="00332A7E" w:rsidP="00FC23D3">
      <w:pPr>
        <w:jc w:val="both"/>
        <w:rPr>
          <w:rFonts w:ascii="Bookman Old Style" w:hAnsi="Bookman Old Style" w:cs="Arial"/>
        </w:rPr>
      </w:pPr>
      <w:r w:rsidRPr="00810505">
        <w:rPr>
          <w:rFonts w:ascii="Bookman Old Style" w:hAnsi="Bookman Old Style" w:cs="Arial"/>
          <w:b/>
          <w:bCs/>
        </w:rPr>
        <w:t>Low-Risk Provisions and Suspicion of ML/TF</w:t>
      </w:r>
      <w:r w:rsidR="002651D9"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ensure that low-risk provisions do not apply when there are suspicions of money laundering (ML) or terrorist financing (TF). If any factors suggest that a customer does not truly pose a low risk, </w:t>
      </w:r>
      <w:r w:rsidR="002E7AC9" w:rsidRPr="00810505">
        <w:rPr>
          <w:rFonts w:ascii="Bookman Old Style" w:hAnsi="Bookman Old Style" w:cs="Arial"/>
        </w:rPr>
        <w:t>Portfolio Manager</w:t>
      </w:r>
      <w:r w:rsidRPr="00810505">
        <w:rPr>
          <w:rFonts w:ascii="Bookman Old Style" w:hAnsi="Bookman Old Style" w:cs="Arial"/>
        </w:rPr>
        <w:t xml:space="preserve"> will increase the due diligence accordingly.</w:t>
      </w:r>
    </w:p>
    <w:p w14:paraId="6BEDFA3A" w14:textId="260AE299" w:rsidR="002651D9" w:rsidRPr="00810505" w:rsidRDefault="00D874F1">
      <w:pPr>
        <w:pStyle w:val="ListParagraph"/>
        <w:numPr>
          <w:ilvl w:val="0"/>
          <w:numId w:val="7"/>
        </w:numPr>
        <w:jc w:val="both"/>
        <w:rPr>
          <w:rFonts w:ascii="Bookman Old Style" w:hAnsi="Bookman Old Style" w:cs="Arial"/>
          <w:b/>
          <w:bCs/>
          <w:u w:val="single"/>
        </w:rPr>
      </w:pPr>
      <w:r w:rsidRPr="00810505">
        <w:rPr>
          <w:rFonts w:ascii="Bookman Old Style" w:hAnsi="Bookman Old Style" w:cs="Arial"/>
          <w:b/>
          <w:bCs/>
          <w:u w:val="single"/>
        </w:rPr>
        <w:t>RISK ASSESSMENT</w:t>
      </w:r>
    </w:p>
    <w:p w14:paraId="1684938B" w14:textId="375C1516" w:rsidR="00332A7E" w:rsidRPr="00810505" w:rsidRDefault="002E7AC9" w:rsidP="00FC23D3">
      <w:pPr>
        <w:ind w:left="72"/>
        <w:jc w:val="both"/>
        <w:rPr>
          <w:rFonts w:ascii="Bookman Old Style" w:hAnsi="Bookman Old Style" w:cs="Arial"/>
        </w:rPr>
      </w:pPr>
      <w:r w:rsidRPr="00810505">
        <w:rPr>
          <w:rFonts w:ascii="Bookman Old Style" w:hAnsi="Bookman Old Style" w:cs="Arial"/>
        </w:rPr>
        <w:t>Portfolio Manager</w:t>
      </w:r>
      <w:r w:rsidR="00332A7E" w:rsidRPr="00810505">
        <w:rPr>
          <w:rFonts w:ascii="Bookman Old Style" w:hAnsi="Bookman Old Style" w:cs="Arial"/>
        </w:rPr>
        <w:t xml:space="preserve"> will carry out a comprehensive risk assessment to identify, assess, and mitigate the risks related to money laundering and terrorist financing (ML/TF), including:</w:t>
      </w:r>
    </w:p>
    <w:p w14:paraId="771CE8F9" w14:textId="77777777" w:rsidR="00332A7E" w:rsidRPr="00810505" w:rsidRDefault="00332A7E">
      <w:pPr>
        <w:numPr>
          <w:ilvl w:val="0"/>
          <w:numId w:val="11"/>
        </w:numPr>
        <w:jc w:val="both"/>
        <w:rPr>
          <w:rFonts w:ascii="Bookman Old Style" w:hAnsi="Bookman Old Style" w:cs="Arial"/>
        </w:rPr>
      </w:pPr>
      <w:r w:rsidRPr="00810505">
        <w:rPr>
          <w:rFonts w:ascii="Bookman Old Style" w:hAnsi="Bookman Old Style" w:cs="Arial"/>
          <w:b/>
          <w:bCs/>
        </w:rPr>
        <w:t>Client Risk Factors:</w:t>
      </w:r>
      <w:r w:rsidRPr="00810505">
        <w:rPr>
          <w:rFonts w:ascii="Bookman Old Style" w:hAnsi="Bookman Old Style" w:cs="Arial"/>
        </w:rPr>
        <w:t xml:space="preserve"> Assessing risks related to clients based on their business nature, geographical location, transaction volume, and payment methods.</w:t>
      </w:r>
    </w:p>
    <w:p w14:paraId="2B22A27A" w14:textId="77777777" w:rsidR="00332A7E" w:rsidRPr="00810505" w:rsidRDefault="00332A7E">
      <w:pPr>
        <w:numPr>
          <w:ilvl w:val="0"/>
          <w:numId w:val="11"/>
        </w:numPr>
        <w:jc w:val="both"/>
        <w:rPr>
          <w:rFonts w:ascii="Bookman Old Style" w:hAnsi="Bookman Old Style" w:cs="Arial"/>
        </w:rPr>
      </w:pPr>
      <w:r w:rsidRPr="00810505">
        <w:rPr>
          <w:rFonts w:ascii="Bookman Old Style" w:hAnsi="Bookman Old Style" w:cs="Arial"/>
          <w:b/>
          <w:bCs/>
        </w:rPr>
        <w:t>Country/Geographical Risks:</w:t>
      </w:r>
      <w:r w:rsidRPr="00810505">
        <w:rPr>
          <w:rFonts w:ascii="Bookman Old Style" w:hAnsi="Bookman Old Style" w:cs="Arial"/>
        </w:rPr>
        <w:t xml:space="preserve"> Identifying risks associated with clients in high-risk countries or regions.</w:t>
      </w:r>
    </w:p>
    <w:p w14:paraId="6ABFEC46" w14:textId="77777777" w:rsidR="00332A7E" w:rsidRPr="00810505" w:rsidRDefault="00332A7E">
      <w:pPr>
        <w:numPr>
          <w:ilvl w:val="0"/>
          <w:numId w:val="11"/>
        </w:numPr>
        <w:jc w:val="both"/>
        <w:rPr>
          <w:rFonts w:ascii="Bookman Old Style" w:hAnsi="Bookman Old Style" w:cs="Arial"/>
        </w:rPr>
      </w:pPr>
      <w:r w:rsidRPr="00810505">
        <w:rPr>
          <w:rFonts w:ascii="Bookman Old Style" w:hAnsi="Bookman Old Style" w:cs="Arial"/>
          <w:b/>
          <w:bCs/>
        </w:rPr>
        <w:t>Transaction Methods:</w:t>
      </w:r>
      <w:r w:rsidRPr="00810505">
        <w:rPr>
          <w:rFonts w:ascii="Bookman Old Style" w:hAnsi="Bookman Old Style" w:cs="Arial"/>
        </w:rPr>
        <w:t xml:space="preserve"> Assessing the methods clients use to conduct transactions, especially if they involve unusual or complex financial structures.</w:t>
      </w:r>
    </w:p>
    <w:p w14:paraId="5FD81DFB" w14:textId="742A617A" w:rsidR="00332A7E" w:rsidRPr="00810505" w:rsidRDefault="00332A7E" w:rsidP="00FC23D3">
      <w:pPr>
        <w:jc w:val="both"/>
        <w:rPr>
          <w:rFonts w:ascii="Bookman Old Style" w:hAnsi="Bookman Old Style" w:cs="Arial"/>
        </w:rPr>
      </w:pPr>
      <w:r w:rsidRPr="00810505">
        <w:rPr>
          <w:rFonts w:ascii="Bookman Old Style" w:hAnsi="Bookman Old Style" w:cs="Arial"/>
          <w:b/>
          <w:bCs/>
        </w:rPr>
        <w:t>Risk Assessment Process</w:t>
      </w:r>
      <w:r w:rsidR="00B805F6"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’s risk assessment will be carried out with the following key steps:</w:t>
      </w:r>
    </w:p>
    <w:p w14:paraId="01031D40" w14:textId="77777777" w:rsidR="00332A7E" w:rsidRPr="00810505" w:rsidRDefault="00332A7E">
      <w:pPr>
        <w:numPr>
          <w:ilvl w:val="0"/>
          <w:numId w:val="12"/>
        </w:numPr>
        <w:jc w:val="both"/>
        <w:rPr>
          <w:rFonts w:ascii="Bookman Old Style" w:hAnsi="Bookman Old Style" w:cs="Arial"/>
        </w:rPr>
      </w:pPr>
      <w:r w:rsidRPr="00810505">
        <w:rPr>
          <w:rFonts w:ascii="Bookman Old Style" w:hAnsi="Bookman Old Style" w:cs="Arial"/>
          <w:b/>
          <w:bCs/>
        </w:rPr>
        <w:lastRenderedPageBreak/>
        <w:t>Identification of Risks:</w:t>
      </w:r>
      <w:r w:rsidRPr="00810505">
        <w:rPr>
          <w:rFonts w:ascii="Bookman Old Style" w:hAnsi="Bookman Old Style" w:cs="Arial"/>
        </w:rPr>
        <w:t xml:space="preserve"> All relevant risk factors will be considered when determining the overall risk level and the type of mitigation measures to be applied.</w:t>
      </w:r>
    </w:p>
    <w:p w14:paraId="6F85C569" w14:textId="77777777" w:rsidR="00332A7E" w:rsidRPr="00810505" w:rsidRDefault="00332A7E">
      <w:pPr>
        <w:numPr>
          <w:ilvl w:val="0"/>
          <w:numId w:val="12"/>
        </w:numPr>
        <w:jc w:val="both"/>
        <w:rPr>
          <w:rFonts w:ascii="Bookman Old Style" w:hAnsi="Bookman Old Style" w:cs="Arial"/>
        </w:rPr>
      </w:pPr>
      <w:r w:rsidRPr="00810505">
        <w:rPr>
          <w:rFonts w:ascii="Bookman Old Style" w:hAnsi="Bookman Old Style" w:cs="Arial"/>
          <w:b/>
          <w:bCs/>
        </w:rPr>
        <w:t>Documentation:</w:t>
      </w:r>
      <w:r w:rsidRPr="00810505">
        <w:rPr>
          <w:rFonts w:ascii="Bookman Old Style" w:hAnsi="Bookman Old Style" w:cs="Arial"/>
        </w:rPr>
        <w:t xml:space="preserve"> The assessment will be well-documented, regularly updated, and available for review by competent authorities or self-regulatory bodies when required.</w:t>
      </w:r>
    </w:p>
    <w:p w14:paraId="79F350F1" w14:textId="77777777" w:rsidR="00332A7E" w:rsidRPr="00810505" w:rsidRDefault="00332A7E">
      <w:pPr>
        <w:numPr>
          <w:ilvl w:val="0"/>
          <w:numId w:val="12"/>
        </w:numPr>
        <w:jc w:val="both"/>
        <w:rPr>
          <w:rFonts w:ascii="Bookman Old Style" w:hAnsi="Bookman Old Style" w:cs="Arial"/>
        </w:rPr>
      </w:pPr>
      <w:r w:rsidRPr="00810505">
        <w:rPr>
          <w:rFonts w:ascii="Bookman Old Style" w:hAnsi="Bookman Old Style" w:cs="Arial"/>
          <w:b/>
          <w:bCs/>
        </w:rPr>
        <w:t>Ongoing Updates:</w:t>
      </w:r>
      <w:r w:rsidRPr="00810505">
        <w:rPr>
          <w:rFonts w:ascii="Bookman Old Style" w:hAnsi="Bookman Old Style" w:cs="Arial"/>
        </w:rPr>
        <w:t xml:space="preserve"> Regular updates will be conducted to ensure that new risk factors or changes in business or regulatory environments are addressed.</w:t>
      </w:r>
    </w:p>
    <w:p w14:paraId="0675266A" w14:textId="784AB4D6" w:rsidR="00332A7E" w:rsidRPr="00810505" w:rsidRDefault="00332A7E" w:rsidP="00FC23D3">
      <w:pPr>
        <w:jc w:val="both"/>
        <w:rPr>
          <w:rFonts w:ascii="Bookman Old Style" w:hAnsi="Bookman Old Style" w:cs="Arial"/>
        </w:rPr>
      </w:pPr>
      <w:r w:rsidRPr="00810505">
        <w:rPr>
          <w:rFonts w:ascii="Bookman Old Style" w:hAnsi="Bookman Old Style" w:cs="Arial"/>
          <w:b/>
          <w:bCs/>
        </w:rPr>
        <w:t>Risk Assessment for New Products and Practices</w:t>
      </w:r>
      <w:r w:rsidR="002C76D8"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carry out risk assessments before the launch or adoption of new products, services, or technologies, and in relation to new business practices or delivery mechanisms. This will include:</w:t>
      </w:r>
    </w:p>
    <w:p w14:paraId="574F6388" w14:textId="77777777" w:rsidR="00332A7E" w:rsidRPr="00810505" w:rsidRDefault="00332A7E">
      <w:pPr>
        <w:numPr>
          <w:ilvl w:val="0"/>
          <w:numId w:val="13"/>
        </w:numPr>
        <w:jc w:val="both"/>
        <w:rPr>
          <w:rFonts w:ascii="Bookman Old Style" w:hAnsi="Bookman Old Style" w:cs="Arial"/>
        </w:rPr>
      </w:pPr>
      <w:r w:rsidRPr="00810505">
        <w:rPr>
          <w:rFonts w:ascii="Bookman Old Style" w:hAnsi="Bookman Old Style" w:cs="Arial"/>
          <w:b/>
          <w:bCs/>
        </w:rPr>
        <w:t>Risk Assessment Prior to Launch:</w:t>
      </w:r>
      <w:r w:rsidRPr="00810505">
        <w:rPr>
          <w:rFonts w:ascii="Bookman Old Style" w:hAnsi="Bookman Old Style" w:cs="Arial"/>
        </w:rPr>
        <w:t xml:space="preserve"> A thorough assessment of ML/TF risks associated with new offerings will be conducted before they are launched.</w:t>
      </w:r>
    </w:p>
    <w:p w14:paraId="1BAA4CFF" w14:textId="77777777" w:rsidR="00332A7E" w:rsidRPr="00810505" w:rsidRDefault="00332A7E">
      <w:pPr>
        <w:numPr>
          <w:ilvl w:val="0"/>
          <w:numId w:val="13"/>
        </w:numPr>
        <w:jc w:val="both"/>
        <w:rPr>
          <w:rFonts w:ascii="Bookman Old Style" w:hAnsi="Bookman Old Style" w:cs="Arial"/>
        </w:rPr>
      </w:pPr>
      <w:r w:rsidRPr="00810505">
        <w:rPr>
          <w:rFonts w:ascii="Bookman Old Style" w:hAnsi="Bookman Old Style" w:cs="Arial"/>
          <w:b/>
          <w:bCs/>
        </w:rPr>
        <w:t>Ongoing Risk Management:</w:t>
      </w:r>
      <w:r w:rsidRPr="00810505">
        <w:rPr>
          <w:rFonts w:ascii="Bookman Old Style" w:hAnsi="Bookman Old Style" w:cs="Arial"/>
        </w:rPr>
        <w:t xml:space="preserve"> A risk-based approach will be used to manage and mitigate any risks that arise in relation to new technologies or business practices.</w:t>
      </w:r>
    </w:p>
    <w:p w14:paraId="6F589E63" w14:textId="67E188FC" w:rsidR="00332A7E" w:rsidRPr="00810505" w:rsidRDefault="00332A7E" w:rsidP="00FC23D3">
      <w:pPr>
        <w:ind w:left="90"/>
        <w:jc w:val="both"/>
        <w:rPr>
          <w:rFonts w:ascii="Bookman Old Style" w:hAnsi="Bookman Old Style" w:cs="Arial"/>
        </w:rPr>
      </w:pPr>
      <w:r w:rsidRPr="00810505">
        <w:rPr>
          <w:rFonts w:ascii="Bookman Old Style" w:hAnsi="Bookman Old Style" w:cs="Arial"/>
          <w:b/>
          <w:bCs/>
        </w:rPr>
        <w:t>Country-Specific and Sanction Lists</w:t>
      </w:r>
      <w:r w:rsidR="00C049B2" w:rsidRPr="00810505">
        <w:rPr>
          <w:rFonts w:ascii="Bookman Old Style" w:hAnsi="Bookman Old Style" w:cs="Arial"/>
        </w:rPr>
        <w:t xml:space="preserve">: </w:t>
      </w:r>
      <w:r w:rsidRPr="00810505">
        <w:rPr>
          <w:rFonts w:ascii="Bookman Old Style" w:hAnsi="Bookman Old Style" w:cs="Arial"/>
        </w:rPr>
        <w:t>The risk assessment will include consideration of:</w:t>
      </w:r>
    </w:p>
    <w:p w14:paraId="35C12E4E" w14:textId="77777777" w:rsidR="00332A7E" w:rsidRPr="00810505" w:rsidRDefault="00332A7E">
      <w:pPr>
        <w:numPr>
          <w:ilvl w:val="0"/>
          <w:numId w:val="14"/>
        </w:numPr>
        <w:jc w:val="both"/>
        <w:rPr>
          <w:rFonts w:ascii="Bookman Old Style" w:hAnsi="Bookman Old Style" w:cs="Arial"/>
        </w:rPr>
      </w:pPr>
      <w:r w:rsidRPr="00810505">
        <w:rPr>
          <w:rFonts w:ascii="Bookman Old Style" w:hAnsi="Bookman Old Style" w:cs="Arial"/>
          <w:b/>
          <w:bCs/>
        </w:rPr>
        <w:t>Country-Specific Information:</w:t>
      </w:r>
      <w:r w:rsidRPr="00810505">
        <w:rPr>
          <w:rFonts w:ascii="Bookman Old Style" w:hAnsi="Bookman Old Style" w:cs="Arial"/>
        </w:rPr>
        <w:t xml:space="preserve"> Any country-specific risks as circulated by the Government of India, SEBI, or other relevant authorities.</w:t>
      </w:r>
    </w:p>
    <w:p w14:paraId="4F1A475E" w14:textId="77777777" w:rsidR="00332A7E" w:rsidRPr="00810505" w:rsidRDefault="00332A7E">
      <w:pPr>
        <w:numPr>
          <w:ilvl w:val="0"/>
          <w:numId w:val="14"/>
        </w:numPr>
        <w:jc w:val="both"/>
        <w:rPr>
          <w:rFonts w:ascii="Bookman Old Style" w:hAnsi="Bookman Old Style" w:cs="Arial"/>
        </w:rPr>
      </w:pPr>
      <w:r w:rsidRPr="00810505">
        <w:rPr>
          <w:rFonts w:ascii="Bookman Old Style" w:hAnsi="Bookman Old Style" w:cs="Arial"/>
          <w:b/>
          <w:bCs/>
        </w:rPr>
        <w:t>Sanction Lists:</w:t>
      </w:r>
      <w:r w:rsidRPr="00810505">
        <w:rPr>
          <w:rFonts w:ascii="Bookman Old Style" w:hAnsi="Bookman Old Style" w:cs="Arial"/>
        </w:rPr>
        <w:t xml:space="preserve"> The updated list of individuals and entities subject to sanctions under United Nations Security Council Resolutions and relevant laws will be regularly reviewed and incorporated into the risk assessment.</w:t>
      </w:r>
    </w:p>
    <w:p w14:paraId="29FAD144" w14:textId="4EA78381" w:rsidR="00E4078B" w:rsidRPr="00810505" w:rsidRDefault="005A4229" w:rsidP="00FC23D3">
      <w:pPr>
        <w:pStyle w:val="Heading1"/>
        <w:jc w:val="both"/>
        <w:rPr>
          <w:rFonts w:ascii="Bookman Old Style" w:hAnsi="Bookman Old Style" w:cs="Arial"/>
          <w:sz w:val="20"/>
          <w:szCs w:val="20"/>
        </w:rPr>
      </w:pPr>
      <w:bookmarkStart w:id="14" w:name="_Toc229159938"/>
      <w:r w:rsidRPr="00810505">
        <w:rPr>
          <w:rFonts w:ascii="Bookman Old Style" w:hAnsi="Bookman Old Style" w:cs="Arial"/>
          <w:sz w:val="20"/>
          <w:szCs w:val="20"/>
        </w:rPr>
        <w:t>Monitoring of Transactions</w:t>
      </w:r>
      <w:bookmarkEnd w:id="14"/>
    </w:p>
    <w:p w14:paraId="52580FEB" w14:textId="7AC6DF56" w:rsidR="004F0A80"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BC3D84" w:rsidRPr="00810505">
        <w:rPr>
          <w:rFonts w:ascii="Bookman Old Style" w:hAnsi="Bookman Old Style" w:cs="Arial"/>
        </w:rPr>
        <w:t xml:space="preserve"> commits to the regular monitoring of client transactions as an essential part of ensuring the effectiveness of Anti-Money Laundering (AML) procedures</w:t>
      </w:r>
      <w:r w:rsidR="00D2692C" w:rsidRPr="00810505">
        <w:rPr>
          <w:rFonts w:ascii="Bookman Old Style" w:hAnsi="Bookman Old Style" w:cs="Arial"/>
        </w:rPr>
        <w:t xml:space="preserve">, by having </w:t>
      </w:r>
      <w:r w:rsidR="00BC3D84" w:rsidRPr="00810505">
        <w:rPr>
          <w:rFonts w:ascii="Bookman Old Style" w:hAnsi="Bookman Old Style" w:cs="Arial"/>
        </w:rPr>
        <w:t xml:space="preserve">a clear understanding of the typical activity patterns of each client. By doing so, </w:t>
      </w:r>
      <w:r w:rsidRPr="00810505">
        <w:rPr>
          <w:rFonts w:ascii="Bookman Old Style" w:hAnsi="Bookman Old Style" w:cs="Arial"/>
        </w:rPr>
        <w:t>Portfolio Manager</w:t>
      </w:r>
      <w:r w:rsidR="00BC3D84" w:rsidRPr="00810505">
        <w:rPr>
          <w:rFonts w:ascii="Bookman Old Style" w:hAnsi="Bookman Old Style" w:cs="Arial"/>
        </w:rPr>
        <w:t xml:space="preserve"> is able to identify deviations from normal activity, which may indicate suspicious transactions.</w:t>
      </w:r>
    </w:p>
    <w:p w14:paraId="464E4BB1" w14:textId="018A3F2D" w:rsidR="00AF2CF3"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AF2CF3" w:rsidRPr="00810505">
        <w:rPr>
          <w:rFonts w:ascii="Bookman Old Style" w:hAnsi="Bookman Old Style" w:cs="Arial"/>
        </w:rPr>
        <w:t xml:space="preserve"> shall pay special attention to complex or unusually large transactions, or transaction patterns that appear to lack an apparent economic purpose. In addition, </w:t>
      </w:r>
      <w:r w:rsidRPr="00810505">
        <w:rPr>
          <w:rFonts w:ascii="Bookman Old Style" w:hAnsi="Bookman Old Style" w:cs="Arial"/>
        </w:rPr>
        <w:t>Portfolio Manager</w:t>
      </w:r>
      <w:r w:rsidR="00045E41" w:rsidRPr="00810505">
        <w:rPr>
          <w:rFonts w:ascii="Bookman Old Style" w:hAnsi="Bookman Old Style" w:cs="Arial"/>
        </w:rPr>
        <w:t xml:space="preserve"> </w:t>
      </w:r>
      <w:r w:rsidR="00AF2CF3" w:rsidRPr="00810505">
        <w:rPr>
          <w:rFonts w:ascii="Bookman Old Style" w:hAnsi="Bookman Old Style" w:cs="Arial"/>
        </w:rPr>
        <w:t>may</w:t>
      </w:r>
      <w:r w:rsidR="00045E41" w:rsidRPr="00810505">
        <w:rPr>
          <w:rFonts w:ascii="Bookman Old Style" w:hAnsi="Bookman Old Style" w:cs="Arial"/>
        </w:rPr>
        <w:t xml:space="preserve"> </w:t>
      </w:r>
      <w:proofErr w:type="gramStart"/>
      <w:r w:rsidR="00045E41" w:rsidRPr="00810505">
        <w:rPr>
          <w:rFonts w:ascii="Bookman Old Style" w:hAnsi="Bookman Old Style" w:cs="Arial"/>
        </w:rPr>
        <w:t>also</w:t>
      </w:r>
      <w:r w:rsidR="00CC2AB4">
        <w:rPr>
          <w:rFonts w:ascii="Bookman Old Style" w:hAnsi="Bookman Old Style" w:cs="Arial"/>
        </w:rPr>
        <w:t xml:space="preserve"> </w:t>
      </w:r>
      <w:r w:rsidR="00AF2CF3" w:rsidRPr="00810505">
        <w:rPr>
          <w:rFonts w:ascii="Bookman Old Style" w:hAnsi="Bookman Old Style" w:cs="Arial"/>
        </w:rPr>
        <w:t xml:space="preserve"> establish</w:t>
      </w:r>
      <w:proofErr w:type="gramEnd"/>
      <w:r w:rsidR="00AF2CF3" w:rsidRPr="00810505">
        <w:rPr>
          <w:rFonts w:ascii="Bookman Old Style" w:hAnsi="Bookman Old Style" w:cs="Arial"/>
        </w:rPr>
        <w:t xml:space="preserve"> internal threshold limits for various categories of client accounts. Transactions that exceed these limits will be scrutinized more closely.</w:t>
      </w:r>
    </w:p>
    <w:p w14:paraId="44BAAAFA" w14:textId="77777777" w:rsidR="00AF2CF3" w:rsidRPr="00810505" w:rsidRDefault="00AF2CF3" w:rsidP="00FC23D3">
      <w:pPr>
        <w:jc w:val="both"/>
        <w:rPr>
          <w:rFonts w:ascii="Bookman Old Style" w:hAnsi="Bookman Old Style" w:cs="Arial"/>
        </w:rPr>
      </w:pPr>
      <w:r w:rsidRPr="00810505">
        <w:rPr>
          <w:rFonts w:ascii="Bookman Old Style" w:hAnsi="Bookman Old Style" w:cs="Arial"/>
        </w:rPr>
        <w:t>Supporting documentation, including office records, memorandums, and clarifications regarding these transactions, will be reviewed thoroughly. All findings will be documented in writing. These findings, along with supporting records and relevant documents, will be made available to auditors and regulatory authorities such as SEBI, stock exchanges, FIU-IND, or other relevant bodies during audits, inspections, or as required.</w:t>
      </w:r>
    </w:p>
    <w:p w14:paraId="789E44EB" w14:textId="2D5930AB" w:rsidR="004F0A80"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A63959" w:rsidRPr="00810505">
        <w:rPr>
          <w:rFonts w:ascii="Bookman Old Style" w:hAnsi="Bookman Old Style" w:cs="Arial"/>
        </w:rPr>
        <w:t xml:space="preserve"> shall apply client due diligence (CDD) measures to both new and existing clients. For existing client relationships, CDD will be carried out based on materiality and risk </w:t>
      </w:r>
      <w:r w:rsidR="00A63959" w:rsidRPr="00810505">
        <w:rPr>
          <w:rFonts w:ascii="Bookman Old Style" w:hAnsi="Bookman Old Style" w:cs="Arial"/>
        </w:rPr>
        <w:lastRenderedPageBreak/>
        <w:t>assessment. The extent of transaction monitoring will be tailored to the specific risk category of each client.</w:t>
      </w:r>
    </w:p>
    <w:p w14:paraId="04BC0A4A" w14:textId="6D45A5D4" w:rsidR="00525DDB"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525DDB" w:rsidRPr="00810505">
        <w:rPr>
          <w:rFonts w:ascii="Bookman Old Style" w:hAnsi="Bookman Old Style" w:cs="Arial"/>
        </w:rPr>
        <w:t xml:space="preserve"> will ensure that transaction records are maintained in compliance with Section 12 of the Prevention of Money Laundering Act (PMLA). Any transactions deemed suspicious, or any other transactions identified for reporting under Section 12, will be promptly reported to the Director of the Financial Intelligence Unit – India (FIU-IND).</w:t>
      </w:r>
    </w:p>
    <w:p w14:paraId="3CE37BB8" w14:textId="6D535F56" w:rsidR="00525DDB" w:rsidRPr="00810505" w:rsidRDefault="00525DDB" w:rsidP="00FC23D3">
      <w:pPr>
        <w:jc w:val="both"/>
        <w:rPr>
          <w:rFonts w:ascii="Bookman Old Style" w:hAnsi="Bookman Old Style" w:cs="Arial"/>
        </w:rPr>
      </w:pPr>
      <w:r w:rsidRPr="00810505">
        <w:rPr>
          <w:rFonts w:ascii="Bookman Old Style" w:hAnsi="Bookman Old Style" w:cs="Arial"/>
        </w:rPr>
        <w:t xml:space="preserve">Additionally, all suspicious transactions will be escalated and reported to senior management within </w:t>
      </w:r>
      <w:r w:rsidR="002E7AC9" w:rsidRPr="00810505">
        <w:rPr>
          <w:rFonts w:ascii="Bookman Old Style" w:hAnsi="Bookman Old Style" w:cs="Arial"/>
        </w:rPr>
        <w:t>Portfolio Manager</w:t>
      </w:r>
      <w:r w:rsidRPr="00810505">
        <w:rPr>
          <w:rFonts w:ascii="Bookman Old Style" w:hAnsi="Bookman Old Style" w:cs="Arial"/>
        </w:rPr>
        <w:t xml:space="preserve"> for further review and appropriate action.</w:t>
      </w:r>
    </w:p>
    <w:p w14:paraId="45807B2B" w14:textId="0FAA96EC" w:rsidR="005A4229" w:rsidRPr="00810505" w:rsidRDefault="006C3D81" w:rsidP="00FC23D3">
      <w:pPr>
        <w:jc w:val="both"/>
        <w:rPr>
          <w:rFonts w:ascii="Bookman Old Style" w:hAnsi="Bookman Old Style" w:cs="Arial"/>
        </w:rPr>
      </w:pPr>
      <w:r w:rsidRPr="00810505">
        <w:rPr>
          <w:rFonts w:ascii="Bookman Old Style" w:hAnsi="Bookman Old Style" w:cs="Arial"/>
        </w:rPr>
        <w:t xml:space="preserve">Further, the compliance cell of </w:t>
      </w:r>
      <w:r w:rsidR="002E7AC9" w:rsidRPr="00810505">
        <w:rPr>
          <w:rFonts w:ascii="Bookman Old Style" w:hAnsi="Bookman Old Style" w:cs="Arial"/>
        </w:rPr>
        <w:t>Portfolio Manager</w:t>
      </w:r>
      <w:r w:rsidRPr="00810505">
        <w:rPr>
          <w:rFonts w:ascii="Bookman Old Style" w:hAnsi="Bookman Old Style" w:cs="Arial"/>
        </w:rPr>
        <w:t xml:space="preserve"> shall randomly examine a selection of transactions undertaken by clients to comment on their nature i.e. whether they are in the nature of suspicious transactions or not.</w:t>
      </w:r>
    </w:p>
    <w:p w14:paraId="277C961B" w14:textId="77777777" w:rsidR="00EE7007" w:rsidRPr="00810505" w:rsidRDefault="00EE7007" w:rsidP="00FC23D3">
      <w:pPr>
        <w:pStyle w:val="Heading1"/>
        <w:jc w:val="both"/>
        <w:rPr>
          <w:rFonts w:ascii="Bookman Old Style" w:hAnsi="Bookman Old Style" w:cs="Arial"/>
          <w:sz w:val="20"/>
          <w:szCs w:val="20"/>
        </w:rPr>
      </w:pPr>
      <w:bookmarkStart w:id="15" w:name="_Toc185874086"/>
      <w:bookmarkStart w:id="16" w:name="_Toc229159939"/>
      <w:r w:rsidRPr="00810505">
        <w:rPr>
          <w:rFonts w:ascii="Bookman Old Style" w:hAnsi="Bookman Old Style" w:cs="Arial"/>
          <w:sz w:val="20"/>
          <w:szCs w:val="20"/>
        </w:rPr>
        <w:t>Suspicious Transaction Monitoring and Reporting</w:t>
      </w:r>
      <w:bookmarkEnd w:id="15"/>
      <w:bookmarkEnd w:id="16"/>
    </w:p>
    <w:p w14:paraId="631E9665" w14:textId="263BCD80" w:rsidR="00EE7007" w:rsidRPr="00810505" w:rsidRDefault="0032720E" w:rsidP="00FC23D3">
      <w:pPr>
        <w:jc w:val="both"/>
        <w:rPr>
          <w:rFonts w:ascii="Bookman Old Style" w:hAnsi="Bookman Old Style" w:cs="Arial"/>
        </w:rPr>
      </w:pPr>
      <w:r w:rsidRPr="00810505">
        <w:rPr>
          <w:rFonts w:ascii="Bookman Old Style" w:hAnsi="Bookman Old Style" w:cs="Arial"/>
          <w:b/>
          <w:bCs/>
        </w:rPr>
        <w:t>Recognition of Suspicious Transactions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take appropriate steps to ensure that suspicious transactions are recognized and reported in a timely manner. In determining whether a transaction is suspicious, </w:t>
      </w:r>
      <w:r w:rsidR="002E7AC9" w:rsidRPr="00810505">
        <w:rPr>
          <w:rFonts w:ascii="Bookman Old Style" w:hAnsi="Bookman Old Style" w:cs="Arial"/>
        </w:rPr>
        <w:t>Portfolio Manager</w:t>
      </w:r>
      <w:r w:rsidRPr="00810505">
        <w:rPr>
          <w:rFonts w:ascii="Bookman Old Style" w:hAnsi="Bookman Old Style" w:cs="Arial"/>
        </w:rPr>
        <w:t xml:space="preserve"> will be guided by the definition of a suspicious transaction as set forth in the PML Rules, as amended from time to time.</w:t>
      </w:r>
    </w:p>
    <w:p w14:paraId="6077F232" w14:textId="15DA036F" w:rsidR="004C3EB3" w:rsidRPr="00810505" w:rsidRDefault="004C3EB3" w:rsidP="00FC23D3">
      <w:pPr>
        <w:jc w:val="both"/>
        <w:rPr>
          <w:rFonts w:ascii="Bookman Old Style" w:hAnsi="Bookman Old Style" w:cs="Arial"/>
        </w:rPr>
      </w:pPr>
      <w:r w:rsidRPr="00810505">
        <w:rPr>
          <w:rFonts w:ascii="Bookman Old Style" w:hAnsi="Bookman Old Style" w:cs="Arial"/>
          <w:b/>
          <w:bCs/>
        </w:rPr>
        <w:t>Illustrative Circumstances of Suspicious Transactions</w:t>
      </w:r>
      <w:r w:rsidRPr="00810505">
        <w:rPr>
          <w:rFonts w:ascii="Bookman Old Style" w:hAnsi="Bookman Old Style" w:cs="Arial"/>
        </w:rPr>
        <w:t>: The following list includes circumstances that may indicate suspicious transactions. This list is non-exhaustive, and whether a particular transaction is suspicious will depend on the background, details of the transactions, and other facts and circumstances:</w:t>
      </w:r>
    </w:p>
    <w:p w14:paraId="74935CAD" w14:textId="5386C467"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Clients whose identity verification is difficult or who appear to be uncooperative.</w:t>
      </w:r>
    </w:p>
    <w:p w14:paraId="545743FF" w14:textId="6BF9EEFC"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Asset management services for clients where the source of funds is unclear or inconsistent with the client’s apparent standing or business activity.</w:t>
      </w:r>
    </w:p>
    <w:p w14:paraId="32D85DE3" w14:textId="4B94C46B"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Clients based in high-risk jurisdictions.</w:t>
      </w:r>
    </w:p>
    <w:p w14:paraId="3196958C" w14:textId="0AE36CDB"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Substantial increases in business volume without an apparent cause.</w:t>
      </w:r>
    </w:p>
    <w:p w14:paraId="78F3EBA8" w14:textId="6CD3903E"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Clients transferring large sums of money to or from overseas locations, with instructions for payment in cash.</w:t>
      </w:r>
    </w:p>
    <w:p w14:paraId="40A47707" w14:textId="44F454A7"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Attempted transfers of investment proceeds to apparently unrelated third parties.</w:t>
      </w:r>
    </w:p>
    <w:p w14:paraId="00773012" w14:textId="66D34C21" w:rsidR="004C3EB3" w:rsidRPr="00810505" w:rsidRDefault="004C3EB3">
      <w:pPr>
        <w:pStyle w:val="ListParagraph"/>
        <w:numPr>
          <w:ilvl w:val="2"/>
          <w:numId w:val="22"/>
        </w:numPr>
        <w:jc w:val="both"/>
        <w:rPr>
          <w:rFonts w:ascii="Bookman Old Style" w:hAnsi="Bookman Old Style" w:cs="Arial"/>
        </w:rPr>
      </w:pPr>
      <w:r w:rsidRPr="00810505">
        <w:rPr>
          <w:rFonts w:ascii="Bookman Old Style" w:hAnsi="Bookman Old Style" w:cs="Arial"/>
        </w:rPr>
        <w:t>Unusual transactions by Corporate Service Providers (CSCs) and businesses conducted by offshore banks/financial services.</w:t>
      </w:r>
    </w:p>
    <w:p w14:paraId="777BE4EC" w14:textId="52347B11" w:rsidR="004C3EB3" w:rsidRPr="00810505" w:rsidRDefault="004C3EB3" w:rsidP="00FC23D3">
      <w:pPr>
        <w:jc w:val="both"/>
        <w:rPr>
          <w:rFonts w:ascii="Bookman Old Style" w:hAnsi="Bookman Old Style" w:cs="Arial"/>
        </w:rPr>
      </w:pPr>
      <w:r w:rsidRPr="00810505">
        <w:rPr>
          <w:rFonts w:ascii="Bookman Old Style" w:hAnsi="Bookman Old Style" w:cs="Arial"/>
          <w:b/>
          <w:bCs/>
        </w:rPr>
        <w:t>Reporting of Suspicious Transactions</w:t>
      </w:r>
      <w:r w:rsidR="00A01D06" w:rsidRPr="00810505">
        <w:rPr>
          <w:rFonts w:ascii="Bookman Old Style" w:hAnsi="Bookman Old Style" w:cs="Arial"/>
        </w:rPr>
        <w:t xml:space="preserve">: </w:t>
      </w:r>
      <w:r w:rsidRPr="00810505">
        <w:rPr>
          <w:rFonts w:ascii="Bookman Old Style" w:hAnsi="Bookman Old Style" w:cs="Arial"/>
        </w:rPr>
        <w:t xml:space="preserve">Any suspicious transaction identified shall be immediately reported to the Designated/Principal Officer within </w:t>
      </w:r>
      <w:r w:rsidR="002E7AC9" w:rsidRPr="00810505">
        <w:rPr>
          <w:rFonts w:ascii="Bookman Old Style" w:hAnsi="Bookman Old Style" w:cs="Arial"/>
        </w:rPr>
        <w:t>Portfolio Manager</w:t>
      </w:r>
      <w:r w:rsidRPr="00810505">
        <w:rPr>
          <w:rFonts w:ascii="Bookman Old Style" w:hAnsi="Bookman Old Style" w:cs="Arial"/>
        </w:rPr>
        <w:t>. The report should include specific details regarding the client, the transaction, and the nature/reason for suspicion.</w:t>
      </w:r>
    </w:p>
    <w:p w14:paraId="670A2F63" w14:textId="77777777" w:rsidR="004C3EB3" w:rsidRPr="00810505" w:rsidRDefault="004C3EB3" w:rsidP="00FC23D3">
      <w:pPr>
        <w:jc w:val="both"/>
        <w:rPr>
          <w:rFonts w:ascii="Bookman Old Style" w:hAnsi="Bookman Old Style" w:cs="Arial"/>
        </w:rPr>
      </w:pPr>
      <w:r w:rsidRPr="00810505">
        <w:rPr>
          <w:rFonts w:ascii="Bookman Old Style" w:hAnsi="Bookman Old Style" w:cs="Arial"/>
        </w:rPr>
        <w:t>While awaiting further investigation, normal business relationships with the client will continue unless otherwise instructed. Clients will not be informed of any suspicions or reports being made.</w:t>
      </w:r>
    </w:p>
    <w:p w14:paraId="0CC8E5E0" w14:textId="77777777" w:rsidR="004C3EB3" w:rsidRPr="00810505" w:rsidRDefault="004C3EB3" w:rsidP="00FC23D3">
      <w:pPr>
        <w:jc w:val="both"/>
        <w:rPr>
          <w:rFonts w:ascii="Bookman Old Style" w:hAnsi="Bookman Old Style" w:cs="Arial"/>
        </w:rPr>
      </w:pPr>
      <w:r w:rsidRPr="00810505">
        <w:rPr>
          <w:rFonts w:ascii="Bookman Old Style" w:hAnsi="Bookman Old Style" w:cs="Arial"/>
        </w:rPr>
        <w:t xml:space="preserve">In exceptional circumstances, consent may be withheld, and transactions may be suspended in one or more jurisdictions, or other actions may be taken. The Designated/Principal Officer, along </w:t>
      </w:r>
      <w:r w:rsidRPr="00810505">
        <w:rPr>
          <w:rFonts w:ascii="Bookman Old Style" w:hAnsi="Bookman Old Style" w:cs="Arial"/>
        </w:rPr>
        <w:lastRenderedPageBreak/>
        <w:t>with compliance, risk management, and other relevant staff, shall have timely access to all necessary client identification data, client due diligence (CDD) information, transaction records, and other pertinent documents.</w:t>
      </w:r>
    </w:p>
    <w:p w14:paraId="12276DFD" w14:textId="472373C1" w:rsidR="004C3EB3" w:rsidRPr="00810505" w:rsidRDefault="004C3EB3" w:rsidP="00FC23D3">
      <w:pPr>
        <w:jc w:val="both"/>
        <w:rPr>
          <w:rFonts w:ascii="Bookman Old Style" w:hAnsi="Bookman Old Style" w:cs="Arial"/>
        </w:rPr>
      </w:pPr>
      <w:r w:rsidRPr="00810505">
        <w:rPr>
          <w:rFonts w:ascii="Bookman Old Style" w:hAnsi="Bookman Old Style" w:cs="Arial"/>
          <w:b/>
          <w:bCs/>
        </w:rPr>
        <w:t>Reporting of Abandoned or Aborted Transactions</w:t>
      </w:r>
      <w:r w:rsidR="0033120C" w:rsidRPr="00810505">
        <w:rPr>
          <w:rFonts w:ascii="Bookman Old Style" w:hAnsi="Bookman Old Style" w:cs="Arial"/>
        </w:rPr>
        <w:t xml:space="preserve">: </w:t>
      </w:r>
      <w:r w:rsidRPr="00810505">
        <w:rPr>
          <w:rFonts w:ascii="Bookman Old Style" w:hAnsi="Bookman Old Style" w:cs="Arial"/>
        </w:rPr>
        <w:t xml:space="preserve">In cases where a transaction is abandoned or aborted by a client </w:t>
      </w:r>
      <w:r w:rsidR="00DE6933" w:rsidRPr="00810505">
        <w:rPr>
          <w:rFonts w:ascii="Bookman Old Style" w:hAnsi="Bookman Old Style" w:cs="Arial"/>
        </w:rPr>
        <w:t xml:space="preserve">on being asked to give some details or to provide </w:t>
      </w:r>
      <w:r w:rsidR="00970C90" w:rsidRPr="00810505">
        <w:rPr>
          <w:rFonts w:ascii="Bookman Old Style" w:hAnsi="Bookman Old Style" w:cs="Arial"/>
        </w:rPr>
        <w:t>any additional documents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will still report these attempted transactions as Suspicious Transaction Reports (STRs), even if the transaction was not completed</w:t>
      </w:r>
      <w:r w:rsidR="00E41FBF" w:rsidRPr="00810505">
        <w:rPr>
          <w:rFonts w:ascii="Bookman Old Style" w:hAnsi="Bookman Old Style" w:cs="Arial"/>
        </w:rPr>
        <w:t xml:space="preserve">, irrespective of the </w:t>
      </w:r>
      <w:r w:rsidR="00152A18" w:rsidRPr="00810505">
        <w:rPr>
          <w:rFonts w:ascii="Bookman Old Style" w:hAnsi="Bookman Old Style" w:cs="Arial"/>
        </w:rPr>
        <w:t xml:space="preserve">amount of the transaction. </w:t>
      </w:r>
    </w:p>
    <w:p w14:paraId="0DB32B73" w14:textId="023848B8" w:rsidR="004C3EB3" w:rsidRPr="00810505" w:rsidRDefault="004C3EB3" w:rsidP="00FC23D3">
      <w:pPr>
        <w:jc w:val="both"/>
        <w:rPr>
          <w:rFonts w:ascii="Bookman Old Style" w:hAnsi="Bookman Old Style" w:cs="Arial"/>
        </w:rPr>
      </w:pPr>
      <w:r w:rsidRPr="00810505">
        <w:rPr>
          <w:rFonts w:ascii="Bookman Old Style" w:hAnsi="Bookman Old Style" w:cs="Arial"/>
          <w:b/>
          <w:bCs/>
        </w:rPr>
        <w:t>Enhanced Measures for High-Risk Countries</w:t>
      </w:r>
      <w:r w:rsidR="00970C90"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recognizes that clients from high-risk countries (those where the effectiveness of money laundering controls is questionable or where FATF standards are not fully applied) are subject to heightened scrutiny. In line with paragraph 18(iii)(f) of the relevant regulatory circular, such clients (referred to as ‘CSC’ clients) will be subject to appropriate countermeasures, which may include:</w:t>
      </w:r>
    </w:p>
    <w:p w14:paraId="2D969885" w14:textId="6CF13C0D" w:rsidR="004C3EB3" w:rsidRPr="00810505" w:rsidRDefault="004C3EB3">
      <w:pPr>
        <w:numPr>
          <w:ilvl w:val="0"/>
          <w:numId w:val="21"/>
        </w:numPr>
        <w:jc w:val="both"/>
        <w:rPr>
          <w:rFonts w:ascii="Bookman Old Style" w:hAnsi="Bookman Old Style" w:cs="Arial"/>
        </w:rPr>
      </w:pPr>
      <w:r w:rsidRPr="00810505">
        <w:rPr>
          <w:rFonts w:ascii="Bookman Old Style" w:hAnsi="Bookman Old Style" w:cs="Arial"/>
        </w:rPr>
        <w:t>Enhanced scrutiny of transactions involving these clients.</w:t>
      </w:r>
    </w:p>
    <w:p w14:paraId="0565F392" w14:textId="0CB1ADB2" w:rsidR="004C3EB3" w:rsidRPr="00810505" w:rsidRDefault="004C3EB3">
      <w:pPr>
        <w:numPr>
          <w:ilvl w:val="0"/>
          <w:numId w:val="21"/>
        </w:numPr>
        <w:jc w:val="both"/>
        <w:rPr>
          <w:rFonts w:ascii="Bookman Old Style" w:hAnsi="Bookman Old Style" w:cs="Arial"/>
        </w:rPr>
      </w:pPr>
      <w:r w:rsidRPr="00810505">
        <w:rPr>
          <w:rFonts w:ascii="Bookman Old Style" w:hAnsi="Bookman Old Style" w:cs="Arial"/>
        </w:rPr>
        <w:t>Enhanced reporting mechanisms or systematic reporting of financial transactions.</w:t>
      </w:r>
    </w:p>
    <w:p w14:paraId="333DE5EE" w14:textId="07D42C03" w:rsidR="004C3EB3" w:rsidRPr="00810505" w:rsidRDefault="004C3EB3">
      <w:pPr>
        <w:numPr>
          <w:ilvl w:val="0"/>
          <w:numId w:val="21"/>
        </w:numPr>
        <w:jc w:val="both"/>
        <w:rPr>
          <w:rFonts w:ascii="Bookman Old Style" w:hAnsi="Bookman Old Style" w:cs="Arial"/>
        </w:rPr>
      </w:pPr>
      <w:r w:rsidRPr="00810505">
        <w:rPr>
          <w:rFonts w:ascii="Bookman Old Style" w:hAnsi="Bookman Old Style" w:cs="Arial"/>
        </w:rPr>
        <w:t>Application of enhanced due diligence when expanding business relationships with persons or entities from these countries.</w:t>
      </w:r>
    </w:p>
    <w:p w14:paraId="195397DE" w14:textId="58BD1A37" w:rsidR="004C3EB3" w:rsidRPr="00810505" w:rsidRDefault="00E274B7" w:rsidP="00FC23D3">
      <w:pPr>
        <w:pStyle w:val="Heading1"/>
        <w:jc w:val="both"/>
        <w:rPr>
          <w:rFonts w:ascii="Bookman Old Style" w:hAnsi="Bookman Old Style" w:cs="Arial"/>
          <w:sz w:val="20"/>
          <w:szCs w:val="20"/>
        </w:rPr>
      </w:pPr>
      <w:bookmarkStart w:id="17" w:name="_Toc229159940"/>
      <w:r w:rsidRPr="00810505">
        <w:rPr>
          <w:rFonts w:ascii="Bookman Old Style" w:hAnsi="Bookman Old Style" w:cs="Arial"/>
          <w:sz w:val="20"/>
          <w:szCs w:val="20"/>
        </w:rPr>
        <w:t>RECORD MANAGEMENT</w:t>
      </w:r>
      <w:bookmarkEnd w:id="17"/>
    </w:p>
    <w:p w14:paraId="70A04AE3" w14:textId="5C42E9DC" w:rsidR="00E274B7" w:rsidRPr="00810505" w:rsidRDefault="0088545B" w:rsidP="00FC23D3">
      <w:pPr>
        <w:jc w:val="both"/>
        <w:rPr>
          <w:rFonts w:ascii="Bookman Old Style" w:hAnsi="Bookman Old Style" w:cs="Arial"/>
          <w:b/>
          <w:bCs/>
          <w:u w:val="single"/>
        </w:rPr>
      </w:pPr>
      <w:r w:rsidRPr="00810505">
        <w:rPr>
          <w:rFonts w:ascii="Bookman Old Style" w:hAnsi="Bookman Old Style" w:cs="Arial"/>
          <w:b/>
          <w:bCs/>
          <w:u w:val="single"/>
        </w:rPr>
        <w:t>Information to be Maintained</w:t>
      </w:r>
    </w:p>
    <w:p w14:paraId="17916130" w14:textId="76BEEE3A" w:rsidR="0088545B"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88545B" w:rsidRPr="00810505">
        <w:rPr>
          <w:rFonts w:ascii="Bookman Old Style" w:hAnsi="Bookman Old Style" w:cs="Arial"/>
        </w:rPr>
        <w:t xml:space="preserve"> shall maintain and preserve the following information in respect of transactions as required under Rule 3 of the PML Rules:</w:t>
      </w:r>
    </w:p>
    <w:p w14:paraId="3F4A347F" w14:textId="0C336693" w:rsidR="0088545B" w:rsidRPr="00810505" w:rsidRDefault="0088545B">
      <w:pPr>
        <w:pStyle w:val="ListParagraph"/>
        <w:numPr>
          <w:ilvl w:val="2"/>
          <w:numId w:val="6"/>
        </w:numPr>
        <w:ind w:left="142" w:firstLine="142"/>
        <w:jc w:val="both"/>
        <w:rPr>
          <w:rFonts w:ascii="Bookman Old Style" w:hAnsi="Bookman Old Style" w:cs="Arial"/>
        </w:rPr>
      </w:pPr>
      <w:r w:rsidRPr="00810505">
        <w:rPr>
          <w:rFonts w:ascii="Bookman Old Style" w:hAnsi="Bookman Old Style" w:cs="Arial"/>
        </w:rPr>
        <w:t>The nature of the transaction.</w:t>
      </w:r>
    </w:p>
    <w:p w14:paraId="1CCCBF9C" w14:textId="5CE36589" w:rsidR="0088545B" w:rsidRPr="00810505" w:rsidRDefault="0088545B">
      <w:pPr>
        <w:pStyle w:val="ListParagraph"/>
        <w:numPr>
          <w:ilvl w:val="2"/>
          <w:numId w:val="6"/>
        </w:numPr>
        <w:ind w:left="142" w:firstLine="142"/>
        <w:jc w:val="both"/>
        <w:rPr>
          <w:rFonts w:ascii="Bookman Old Style" w:hAnsi="Bookman Old Style" w:cs="Arial"/>
        </w:rPr>
      </w:pPr>
      <w:r w:rsidRPr="00810505">
        <w:rPr>
          <w:rFonts w:ascii="Bookman Old Style" w:hAnsi="Bookman Old Style" w:cs="Arial"/>
        </w:rPr>
        <w:t>The amount of the transaction and the currency in which it is denominated.</w:t>
      </w:r>
    </w:p>
    <w:p w14:paraId="75DF847B" w14:textId="032C929F" w:rsidR="0088545B" w:rsidRPr="00810505" w:rsidRDefault="0088545B">
      <w:pPr>
        <w:pStyle w:val="ListParagraph"/>
        <w:numPr>
          <w:ilvl w:val="2"/>
          <w:numId w:val="6"/>
        </w:numPr>
        <w:ind w:left="142" w:firstLine="142"/>
        <w:jc w:val="both"/>
        <w:rPr>
          <w:rFonts w:ascii="Bookman Old Style" w:hAnsi="Bookman Old Style" w:cs="Arial"/>
        </w:rPr>
      </w:pPr>
      <w:r w:rsidRPr="00810505">
        <w:rPr>
          <w:rFonts w:ascii="Bookman Old Style" w:hAnsi="Bookman Old Style" w:cs="Arial"/>
        </w:rPr>
        <w:t>The date on which the transaction was conducted.</w:t>
      </w:r>
    </w:p>
    <w:p w14:paraId="1AEA6776" w14:textId="786BDC77" w:rsidR="0088545B" w:rsidRPr="00810505" w:rsidRDefault="0088545B">
      <w:pPr>
        <w:pStyle w:val="ListParagraph"/>
        <w:numPr>
          <w:ilvl w:val="2"/>
          <w:numId w:val="6"/>
        </w:numPr>
        <w:ind w:left="142" w:firstLine="142"/>
        <w:jc w:val="both"/>
        <w:rPr>
          <w:rFonts w:ascii="Bookman Old Style" w:hAnsi="Bookman Old Style" w:cs="Arial"/>
        </w:rPr>
      </w:pPr>
      <w:r w:rsidRPr="00810505">
        <w:rPr>
          <w:rFonts w:ascii="Bookman Old Style" w:hAnsi="Bookman Old Style" w:cs="Arial"/>
        </w:rPr>
        <w:t>The parties involved in the transaction.</w:t>
      </w:r>
    </w:p>
    <w:p w14:paraId="5D2BD899" w14:textId="77777777" w:rsidR="00CB7D33" w:rsidRPr="00810505" w:rsidRDefault="00CB7D33" w:rsidP="00FC23D3">
      <w:pPr>
        <w:jc w:val="both"/>
        <w:rPr>
          <w:rFonts w:ascii="Bookman Old Style" w:hAnsi="Bookman Old Style" w:cs="Arial"/>
          <w:b/>
          <w:bCs/>
          <w:u w:val="single"/>
        </w:rPr>
      </w:pPr>
      <w:r w:rsidRPr="00810505">
        <w:rPr>
          <w:rFonts w:ascii="Bookman Old Style" w:hAnsi="Bookman Old Style" w:cs="Arial"/>
          <w:b/>
          <w:bCs/>
          <w:u w:val="single"/>
        </w:rPr>
        <w:t>Record Keeping Requirements</w:t>
      </w:r>
    </w:p>
    <w:p w14:paraId="47C88486" w14:textId="6D4DC0A4" w:rsidR="0088545B"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F16C57" w:rsidRPr="00810505">
        <w:rPr>
          <w:rFonts w:ascii="Bookman Old Style" w:hAnsi="Bookman Old Style" w:cs="Arial"/>
        </w:rPr>
        <w:t xml:space="preserve"> shall comply with the record-keeping requirements under the SEBI Act, 1992, the PMLA, and other relevant legislation, rules, regulations, exchange bye-laws, and circulars.</w:t>
      </w:r>
    </w:p>
    <w:p w14:paraId="1391C234" w14:textId="01CB6FB9" w:rsidR="00F16C57"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F16C57" w:rsidRPr="00810505">
        <w:rPr>
          <w:rFonts w:ascii="Bookman Old Style" w:hAnsi="Bookman Old Style" w:cs="Arial"/>
        </w:rPr>
        <w:t xml:space="preserve"> shall ensure that records are maintained in a manner sufficient to reconstruct individual transactions. This includes retaining records of the amounts and types of currencies involved, as well as providing the necessary evidence for the prosecution of any criminal activity related to money laundering or terrorism financing.</w:t>
      </w:r>
    </w:p>
    <w:p w14:paraId="0BA77645" w14:textId="64E17EDB" w:rsidR="00F6369A" w:rsidRPr="00810505" w:rsidRDefault="0020253F" w:rsidP="00FC23D3">
      <w:pPr>
        <w:jc w:val="both"/>
        <w:rPr>
          <w:rFonts w:ascii="Bookman Old Style" w:hAnsi="Bookman Old Style" w:cs="Arial"/>
        </w:rPr>
      </w:pPr>
      <w:r w:rsidRPr="00810505">
        <w:rPr>
          <w:rFonts w:ascii="Bookman Old Style" w:hAnsi="Bookman Old Style" w:cs="Arial"/>
        </w:rPr>
        <w:t>In</w:t>
      </w:r>
      <w:r w:rsidR="00E04056" w:rsidRPr="00810505">
        <w:rPr>
          <w:rFonts w:ascii="Bookman Old Style" w:hAnsi="Bookman Old Style" w:cs="Arial"/>
        </w:rPr>
        <w:t xml:space="preserve"> </w:t>
      </w:r>
      <w:r w:rsidRPr="00810505">
        <w:rPr>
          <w:rFonts w:ascii="Bookman Old Style" w:hAnsi="Bookman Old Style" w:cs="Arial"/>
        </w:rPr>
        <w:t>case of any suspected laun</w:t>
      </w:r>
      <w:r w:rsidR="00117AFE" w:rsidRPr="00810505">
        <w:rPr>
          <w:rFonts w:ascii="Bookman Old Style" w:hAnsi="Bookman Old Style" w:cs="Arial"/>
        </w:rPr>
        <w:t xml:space="preserve">dered money or terrorist property, </w:t>
      </w:r>
      <w:r w:rsidR="00DD794B" w:rsidRPr="00810505">
        <w:rPr>
          <w:rFonts w:ascii="Bookman Old Style" w:hAnsi="Bookman Old Style" w:cs="Arial"/>
        </w:rPr>
        <w:t xml:space="preserve">the </w:t>
      </w:r>
      <w:r w:rsidR="00780093" w:rsidRPr="00810505">
        <w:rPr>
          <w:rFonts w:ascii="Bookman Old Style" w:hAnsi="Bookman Old Style" w:cs="Arial"/>
        </w:rPr>
        <w:t xml:space="preserve">competent </w:t>
      </w:r>
      <w:r w:rsidR="00127B71" w:rsidRPr="00810505">
        <w:rPr>
          <w:rFonts w:ascii="Bookman Old Style" w:hAnsi="Bookman Old Style" w:cs="Arial"/>
        </w:rPr>
        <w:t>investigating authorities would need to trace through the audit trail for recon</w:t>
      </w:r>
      <w:r w:rsidR="00845FFC" w:rsidRPr="00810505">
        <w:rPr>
          <w:rFonts w:ascii="Bookman Old Style" w:hAnsi="Bookman Old Style" w:cs="Arial"/>
        </w:rPr>
        <w:t xml:space="preserve">structing a financial profile of the suspect account. </w:t>
      </w:r>
      <w:r w:rsidR="00F6369A" w:rsidRPr="00810505">
        <w:rPr>
          <w:rFonts w:ascii="Bookman Old Style" w:hAnsi="Bookman Old Style" w:cs="Arial"/>
        </w:rPr>
        <w:t xml:space="preserve">To enable authorities to reconstruct a financial profile of a suspect account, </w:t>
      </w:r>
      <w:r w:rsidR="002E7AC9" w:rsidRPr="00810505">
        <w:rPr>
          <w:rFonts w:ascii="Bookman Old Style" w:hAnsi="Bookman Old Style" w:cs="Arial"/>
        </w:rPr>
        <w:t>Portfolio Manager</w:t>
      </w:r>
      <w:r w:rsidR="00F6369A" w:rsidRPr="00810505">
        <w:rPr>
          <w:rFonts w:ascii="Bookman Old Style" w:hAnsi="Bookman Old Style" w:cs="Arial"/>
        </w:rPr>
        <w:t xml:space="preserve"> shall retain the following details for each client account</w:t>
      </w:r>
      <w:r w:rsidR="006379BC" w:rsidRPr="00810505">
        <w:rPr>
          <w:rFonts w:ascii="Bookman Old Style" w:hAnsi="Bookman Old Style" w:cs="Arial"/>
        </w:rPr>
        <w:t xml:space="preserve"> in order to maintain the </w:t>
      </w:r>
      <w:r w:rsidR="00201C86" w:rsidRPr="00810505">
        <w:rPr>
          <w:rFonts w:ascii="Bookman Old Style" w:hAnsi="Bookman Old Style" w:cs="Arial"/>
        </w:rPr>
        <w:t>satisfactory audit trail:</w:t>
      </w:r>
    </w:p>
    <w:p w14:paraId="3270FE46" w14:textId="13E39413" w:rsidR="00F6369A" w:rsidRPr="00810505" w:rsidRDefault="00F6369A">
      <w:pPr>
        <w:pStyle w:val="ListParagraph"/>
        <w:numPr>
          <w:ilvl w:val="0"/>
          <w:numId w:val="23"/>
        </w:numPr>
        <w:spacing w:after="0"/>
        <w:contextualSpacing w:val="0"/>
        <w:jc w:val="both"/>
        <w:rPr>
          <w:rFonts w:ascii="Bookman Old Style" w:hAnsi="Bookman Old Style" w:cs="Arial"/>
        </w:rPr>
      </w:pPr>
      <w:r w:rsidRPr="00810505">
        <w:rPr>
          <w:rFonts w:ascii="Bookman Old Style" w:hAnsi="Bookman Old Style" w:cs="Arial"/>
        </w:rPr>
        <w:lastRenderedPageBreak/>
        <w:t>The beneficial owner of the account.</w:t>
      </w:r>
    </w:p>
    <w:p w14:paraId="33D788AA" w14:textId="266F28C3" w:rsidR="00F6369A" w:rsidRPr="00810505" w:rsidRDefault="00F6369A">
      <w:pPr>
        <w:pStyle w:val="ListParagraph"/>
        <w:numPr>
          <w:ilvl w:val="0"/>
          <w:numId w:val="23"/>
        </w:numPr>
        <w:spacing w:after="0"/>
        <w:contextualSpacing w:val="0"/>
        <w:jc w:val="both"/>
        <w:rPr>
          <w:rFonts w:ascii="Bookman Old Style" w:hAnsi="Bookman Old Style" w:cs="Arial"/>
        </w:rPr>
      </w:pPr>
      <w:r w:rsidRPr="00810505">
        <w:rPr>
          <w:rFonts w:ascii="Bookman Old Style" w:hAnsi="Bookman Old Style" w:cs="Arial"/>
        </w:rPr>
        <w:t>The volume of funds flowing through the account.</w:t>
      </w:r>
    </w:p>
    <w:p w14:paraId="6EA2B54D" w14:textId="58C6E411" w:rsidR="00F6369A" w:rsidRPr="00810505" w:rsidRDefault="00F6369A">
      <w:pPr>
        <w:pStyle w:val="ListParagraph"/>
        <w:numPr>
          <w:ilvl w:val="0"/>
          <w:numId w:val="23"/>
        </w:numPr>
        <w:spacing w:after="0"/>
        <w:contextualSpacing w:val="0"/>
        <w:jc w:val="both"/>
        <w:rPr>
          <w:rFonts w:ascii="Bookman Old Style" w:hAnsi="Bookman Old Style" w:cs="Arial"/>
        </w:rPr>
      </w:pPr>
      <w:r w:rsidRPr="00810505">
        <w:rPr>
          <w:rFonts w:ascii="Bookman Old Style" w:hAnsi="Bookman Old Style" w:cs="Arial"/>
        </w:rPr>
        <w:t>For selected transactions:</w:t>
      </w:r>
    </w:p>
    <w:p w14:paraId="7312391D" w14:textId="4B5B4442" w:rsidR="00F6369A" w:rsidRPr="00810505" w:rsidRDefault="00F6369A">
      <w:pPr>
        <w:pStyle w:val="ListParagraph"/>
        <w:numPr>
          <w:ilvl w:val="4"/>
          <w:numId w:val="24"/>
        </w:numPr>
        <w:spacing w:after="0"/>
        <w:contextualSpacing w:val="0"/>
        <w:jc w:val="both"/>
        <w:rPr>
          <w:rFonts w:ascii="Bookman Old Style" w:hAnsi="Bookman Old Style" w:cs="Arial"/>
        </w:rPr>
      </w:pPr>
      <w:r w:rsidRPr="00810505">
        <w:rPr>
          <w:rFonts w:ascii="Bookman Old Style" w:hAnsi="Bookman Old Style" w:cs="Arial"/>
        </w:rPr>
        <w:t>The origin of the funds.</w:t>
      </w:r>
    </w:p>
    <w:p w14:paraId="1D260E57" w14:textId="6C0520E7" w:rsidR="00F6369A" w:rsidRPr="00810505" w:rsidRDefault="00F6369A">
      <w:pPr>
        <w:pStyle w:val="ListParagraph"/>
        <w:numPr>
          <w:ilvl w:val="4"/>
          <w:numId w:val="24"/>
        </w:numPr>
        <w:spacing w:after="0"/>
        <w:contextualSpacing w:val="0"/>
        <w:jc w:val="both"/>
        <w:rPr>
          <w:rFonts w:ascii="Bookman Old Style" w:hAnsi="Bookman Old Style" w:cs="Arial"/>
        </w:rPr>
      </w:pPr>
      <w:r w:rsidRPr="00810505">
        <w:rPr>
          <w:rFonts w:ascii="Bookman Old Style" w:hAnsi="Bookman Old Style" w:cs="Arial"/>
        </w:rPr>
        <w:t>The form in which the funds were offered or withdrawn (e.g., cheques, demand drafts).</w:t>
      </w:r>
    </w:p>
    <w:p w14:paraId="5800DC5F" w14:textId="7DA2D1F6" w:rsidR="00F6369A" w:rsidRPr="00810505" w:rsidRDefault="00F6369A">
      <w:pPr>
        <w:pStyle w:val="ListParagraph"/>
        <w:numPr>
          <w:ilvl w:val="4"/>
          <w:numId w:val="24"/>
        </w:numPr>
        <w:spacing w:after="0"/>
        <w:contextualSpacing w:val="0"/>
        <w:jc w:val="both"/>
        <w:rPr>
          <w:rFonts w:ascii="Bookman Old Style" w:hAnsi="Bookman Old Style" w:cs="Arial"/>
        </w:rPr>
      </w:pPr>
      <w:r w:rsidRPr="00810505">
        <w:rPr>
          <w:rFonts w:ascii="Bookman Old Style" w:hAnsi="Bookman Old Style" w:cs="Arial"/>
        </w:rPr>
        <w:t>The identity of the person conducting the transaction.</w:t>
      </w:r>
    </w:p>
    <w:p w14:paraId="34130E44" w14:textId="5C1ED543" w:rsidR="00F6369A" w:rsidRPr="00810505" w:rsidRDefault="00F6369A">
      <w:pPr>
        <w:pStyle w:val="ListParagraph"/>
        <w:numPr>
          <w:ilvl w:val="4"/>
          <w:numId w:val="24"/>
        </w:numPr>
        <w:spacing w:after="0"/>
        <w:contextualSpacing w:val="0"/>
        <w:jc w:val="both"/>
        <w:rPr>
          <w:rFonts w:ascii="Bookman Old Style" w:hAnsi="Bookman Old Style" w:cs="Arial"/>
        </w:rPr>
      </w:pPr>
      <w:r w:rsidRPr="00810505">
        <w:rPr>
          <w:rFonts w:ascii="Bookman Old Style" w:hAnsi="Bookman Old Style" w:cs="Arial"/>
        </w:rPr>
        <w:t>The destination of the funds.</w:t>
      </w:r>
    </w:p>
    <w:p w14:paraId="5A1713CE" w14:textId="6890CD4B" w:rsidR="00F6369A" w:rsidRPr="00810505" w:rsidRDefault="00F6369A">
      <w:pPr>
        <w:pStyle w:val="ListParagraph"/>
        <w:numPr>
          <w:ilvl w:val="4"/>
          <w:numId w:val="24"/>
        </w:numPr>
        <w:spacing w:after="0"/>
        <w:contextualSpacing w:val="0"/>
        <w:jc w:val="both"/>
        <w:rPr>
          <w:rFonts w:ascii="Bookman Old Style" w:hAnsi="Bookman Old Style" w:cs="Arial"/>
        </w:rPr>
      </w:pPr>
      <w:r w:rsidRPr="00810505">
        <w:rPr>
          <w:rFonts w:ascii="Bookman Old Style" w:hAnsi="Bookman Old Style" w:cs="Arial"/>
        </w:rPr>
        <w:t>The form of instruction and authority.</w:t>
      </w:r>
    </w:p>
    <w:p w14:paraId="425F9C27" w14:textId="77C77271" w:rsidR="00F6369A" w:rsidRPr="00810505" w:rsidRDefault="00F6369A" w:rsidP="00FC23D3">
      <w:pPr>
        <w:jc w:val="both"/>
        <w:rPr>
          <w:rFonts w:ascii="Bookman Old Style" w:hAnsi="Bookman Old Style" w:cs="Arial"/>
        </w:rPr>
      </w:pPr>
      <w:r w:rsidRPr="00810505">
        <w:rPr>
          <w:rFonts w:ascii="Bookman Old Style" w:hAnsi="Bookman Old Style" w:cs="Arial"/>
          <w:b/>
          <w:bCs/>
        </w:rPr>
        <w:t>Availability of Records to Authorities</w:t>
      </w:r>
      <w:r w:rsidR="00676F56"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ensure that all client and transaction records are available on a timely basis to competent investigating authorities. If required, the company shall retain certain records, such as client identification, account files, and business correspondence, for periods exceeding those stipulated by the SEBI Act, PMLA, or other applicable regulations.</w:t>
      </w:r>
    </w:p>
    <w:p w14:paraId="78B753D4" w14:textId="3DA63635" w:rsidR="001511D7"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1511D7" w:rsidRPr="00810505">
        <w:rPr>
          <w:rFonts w:ascii="Bookman Old Style" w:hAnsi="Bookman Old Style" w:cs="Arial"/>
        </w:rPr>
        <w:t xml:space="preserve"> shall maintain a system for recording and preserving the following types of transactions:</w:t>
      </w:r>
    </w:p>
    <w:p w14:paraId="2C17F0B7" w14:textId="03B97865" w:rsidR="001511D7" w:rsidRPr="00810505" w:rsidRDefault="001511D7">
      <w:pPr>
        <w:pStyle w:val="ListParagraph"/>
        <w:numPr>
          <w:ilvl w:val="0"/>
          <w:numId w:val="25"/>
        </w:numPr>
        <w:spacing w:after="0"/>
        <w:contextualSpacing w:val="0"/>
        <w:jc w:val="both"/>
        <w:rPr>
          <w:rFonts w:ascii="Bookman Old Style" w:hAnsi="Bookman Old Style" w:cs="Arial"/>
        </w:rPr>
      </w:pPr>
      <w:r w:rsidRPr="00810505">
        <w:rPr>
          <w:rFonts w:ascii="Bookman Old Style" w:hAnsi="Bookman Old Style" w:cs="Arial"/>
        </w:rPr>
        <w:t>All cash transactions exceeding ten lakh rupees or its equivalent in foreign currency.</w:t>
      </w:r>
    </w:p>
    <w:p w14:paraId="2D7A6A55" w14:textId="274098A3" w:rsidR="001511D7" w:rsidRPr="00810505" w:rsidRDefault="001511D7">
      <w:pPr>
        <w:pStyle w:val="ListParagraph"/>
        <w:numPr>
          <w:ilvl w:val="0"/>
          <w:numId w:val="25"/>
        </w:numPr>
        <w:spacing w:after="0"/>
        <w:ind w:left="360" w:firstLine="0"/>
        <w:contextualSpacing w:val="0"/>
        <w:jc w:val="both"/>
        <w:rPr>
          <w:rFonts w:ascii="Bookman Old Style" w:hAnsi="Bookman Old Style" w:cs="Arial"/>
        </w:rPr>
      </w:pPr>
      <w:r w:rsidRPr="00810505">
        <w:rPr>
          <w:rFonts w:ascii="Bookman Old Style" w:hAnsi="Bookman Old Style" w:cs="Arial"/>
        </w:rPr>
        <w:t>Any series of cash transactions that are integrally connected and have a monthly aggregate exceeding ten lakh rupees, even if individual transactions are below this threshold.</w:t>
      </w:r>
    </w:p>
    <w:p w14:paraId="4C4E0E27" w14:textId="58C5739C" w:rsidR="001511D7" w:rsidRPr="00810505" w:rsidRDefault="001511D7">
      <w:pPr>
        <w:pStyle w:val="ListParagraph"/>
        <w:numPr>
          <w:ilvl w:val="0"/>
          <w:numId w:val="25"/>
        </w:numPr>
        <w:spacing w:after="0"/>
        <w:ind w:left="360" w:firstLine="0"/>
        <w:contextualSpacing w:val="0"/>
        <w:jc w:val="both"/>
        <w:rPr>
          <w:rFonts w:ascii="Bookman Old Style" w:hAnsi="Bookman Old Style" w:cs="Arial"/>
        </w:rPr>
      </w:pPr>
      <w:r w:rsidRPr="00810505">
        <w:rPr>
          <w:rFonts w:ascii="Bookman Old Style" w:hAnsi="Bookman Old Style" w:cs="Arial"/>
        </w:rPr>
        <w:t>All cash transactions involving forged or counterfeit currency notes, bank notes, or valuable securities or documents facilitating the transaction.</w:t>
      </w:r>
    </w:p>
    <w:p w14:paraId="6981CEC0" w14:textId="6F15EFC7" w:rsidR="001511D7" w:rsidRPr="00810505" w:rsidRDefault="001511D7">
      <w:pPr>
        <w:pStyle w:val="ListParagraph"/>
        <w:numPr>
          <w:ilvl w:val="0"/>
          <w:numId w:val="25"/>
        </w:numPr>
        <w:spacing w:after="0"/>
        <w:ind w:left="360" w:firstLine="0"/>
        <w:contextualSpacing w:val="0"/>
        <w:jc w:val="both"/>
        <w:rPr>
          <w:rFonts w:ascii="Bookman Old Style" w:hAnsi="Bookman Old Style" w:cs="Arial"/>
        </w:rPr>
      </w:pPr>
      <w:r w:rsidRPr="00810505">
        <w:rPr>
          <w:rFonts w:ascii="Bookman Old Style" w:hAnsi="Bookman Old Style" w:cs="Arial"/>
        </w:rPr>
        <w:t xml:space="preserve">All suspicious transactions, regardless of whether they are made in cash. This includes credits or debits into or from non-monetary accounts such as demat or security accounts maintained by </w:t>
      </w:r>
      <w:r w:rsidR="002E7AC9" w:rsidRPr="00810505">
        <w:rPr>
          <w:rFonts w:ascii="Bookman Old Style" w:hAnsi="Bookman Old Style" w:cs="Arial"/>
        </w:rPr>
        <w:t>Portfolio Manager</w:t>
      </w:r>
      <w:r w:rsidRPr="00810505">
        <w:rPr>
          <w:rFonts w:ascii="Bookman Old Style" w:hAnsi="Bookman Old Style" w:cs="Arial"/>
        </w:rPr>
        <w:t>.</w:t>
      </w:r>
    </w:p>
    <w:p w14:paraId="33E57AC3" w14:textId="77777777" w:rsidR="001511D7" w:rsidRPr="00810505" w:rsidRDefault="001511D7" w:rsidP="00FC23D3">
      <w:pPr>
        <w:jc w:val="both"/>
        <w:rPr>
          <w:rFonts w:ascii="Bookman Old Style" w:hAnsi="Bookman Old Style" w:cs="Arial"/>
        </w:rPr>
      </w:pPr>
      <w:r w:rsidRPr="00810505">
        <w:rPr>
          <w:rFonts w:ascii="Bookman Old Style" w:hAnsi="Bookman Old Style" w:cs="Arial"/>
        </w:rPr>
        <w:t>It is clarified that, for the purpose of suspicious transaction reporting, not only "integrally connected" transactions but also "remotely connected or related" transactions will be considered.</w:t>
      </w:r>
    </w:p>
    <w:p w14:paraId="2993A356" w14:textId="7986EB48" w:rsidR="001A192C" w:rsidRPr="00810505" w:rsidRDefault="001A192C" w:rsidP="00FC23D3">
      <w:pPr>
        <w:jc w:val="both"/>
        <w:rPr>
          <w:rFonts w:ascii="Bookman Old Style" w:hAnsi="Bookman Old Style" w:cs="Arial"/>
        </w:rPr>
      </w:pPr>
      <w:r w:rsidRPr="00810505">
        <w:rPr>
          <w:rFonts w:ascii="Bookman Old Style" w:hAnsi="Bookman Old Style" w:cs="Arial"/>
        </w:rPr>
        <w:t xml:space="preserve">In cases where </w:t>
      </w:r>
      <w:r w:rsidR="002E7AC9" w:rsidRPr="00810505">
        <w:rPr>
          <w:rFonts w:ascii="Bookman Old Style" w:hAnsi="Bookman Old Style" w:cs="Arial"/>
        </w:rPr>
        <w:t>Portfolio Manager</w:t>
      </w:r>
      <w:r w:rsidRPr="00810505">
        <w:rPr>
          <w:rFonts w:ascii="Bookman Old Style" w:hAnsi="Bookman Old Style" w:cs="Arial"/>
        </w:rPr>
        <w:t xml:space="preserve"> does not possess records of the identity of its existing clients, the company shall obtain these records immediately. If such records cannot be obtained, </w:t>
      </w:r>
      <w:r w:rsidR="002E7AC9" w:rsidRPr="00810505">
        <w:rPr>
          <w:rFonts w:ascii="Bookman Old Style" w:hAnsi="Bookman Old Style" w:cs="Arial"/>
        </w:rPr>
        <w:t>Portfolio Manager</w:t>
      </w:r>
      <w:r w:rsidRPr="00810505">
        <w:rPr>
          <w:rFonts w:ascii="Bookman Old Style" w:hAnsi="Bookman Old Style" w:cs="Arial"/>
        </w:rPr>
        <w:t xml:space="preserve"> will close the client’s account after providing due notice to the client.</w:t>
      </w:r>
    </w:p>
    <w:p w14:paraId="1FEDED31" w14:textId="77777777" w:rsidR="001A192C" w:rsidRPr="00810505" w:rsidRDefault="001A192C" w:rsidP="00FC23D3">
      <w:pPr>
        <w:jc w:val="both"/>
        <w:rPr>
          <w:rFonts w:ascii="Bookman Old Style" w:hAnsi="Bookman Old Style" w:cs="Arial"/>
        </w:rPr>
      </w:pPr>
      <w:r w:rsidRPr="00810505">
        <w:rPr>
          <w:rFonts w:ascii="Bookman Old Style" w:hAnsi="Bookman Old Style" w:cs="Arial"/>
          <w:b/>
          <w:bCs/>
        </w:rPr>
        <w:t>Explanation</w:t>
      </w:r>
      <w:r w:rsidRPr="00810505">
        <w:rPr>
          <w:rFonts w:ascii="Bookman Old Style" w:hAnsi="Bookman Old Style" w:cs="Arial"/>
        </w:rPr>
        <w:t>: "Records of the identity of clients" shall include updated identification details, account files, business correspondence, and any analysis conducted under Rules 3 and 9 of the PML Rules.</w:t>
      </w:r>
    </w:p>
    <w:p w14:paraId="25CA80F8" w14:textId="4AD13C80" w:rsidR="00F6369A" w:rsidRPr="00810505" w:rsidRDefault="00E4742C" w:rsidP="00FC23D3">
      <w:pPr>
        <w:pStyle w:val="Heading1"/>
        <w:jc w:val="both"/>
        <w:rPr>
          <w:rFonts w:ascii="Bookman Old Style" w:hAnsi="Bookman Old Style" w:cs="Arial"/>
          <w:sz w:val="20"/>
          <w:szCs w:val="20"/>
        </w:rPr>
      </w:pPr>
      <w:bookmarkStart w:id="18" w:name="_Toc229159941"/>
      <w:r w:rsidRPr="00810505">
        <w:rPr>
          <w:rFonts w:ascii="Bookman Old Style" w:hAnsi="Bookman Old Style" w:cs="Arial"/>
          <w:sz w:val="20"/>
          <w:szCs w:val="20"/>
        </w:rPr>
        <w:t>Retention and Preservation of Records</w:t>
      </w:r>
      <w:bookmarkEnd w:id="18"/>
    </w:p>
    <w:p w14:paraId="353B1FCB" w14:textId="567BDC58" w:rsidR="00E4742C"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B67C7" w:rsidRPr="00810505">
        <w:rPr>
          <w:rFonts w:ascii="Bookman Old Style" w:hAnsi="Bookman Old Style" w:cs="Arial"/>
        </w:rPr>
        <w:t xml:space="preserve"> shall develop and implement an internal mechanism for the proper maintenance and preservation of client and transaction records. This mechanism will ensure that records are stored in a manner that facilitates easy and quick retrieval upon request by competent authorities.</w:t>
      </w:r>
    </w:p>
    <w:p w14:paraId="34159B1F" w14:textId="19386377" w:rsidR="001B6497" w:rsidRPr="00810505" w:rsidRDefault="001B6497" w:rsidP="00FC23D3">
      <w:pPr>
        <w:jc w:val="both"/>
        <w:rPr>
          <w:rFonts w:ascii="Bookman Old Style" w:hAnsi="Bookman Old Style" w:cs="Arial"/>
        </w:rPr>
      </w:pPr>
      <w:r w:rsidRPr="00810505">
        <w:rPr>
          <w:rFonts w:ascii="Bookman Old Style" w:hAnsi="Bookman Old Style" w:cs="Arial"/>
        </w:rPr>
        <w:lastRenderedPageBreak/>
        <w:t xml:space="preserve">In accordance with Rule 3 of the PML Rules, </w:t>
      </w:r>
      <w:r w:rsidR="002E7AC9" w:rsidRPr="00810505">
        <w:rPr>
          <w:rFonts w:ascii="Bookman Old Style" w:hAnsi="Bookman Old Style" w:cs="Arial"/>
        </w:rPr>
        <w:t>Portfolio Manager</w:t>
      </w:r>
      <w:r w:rsidRPr="00810505">
        <w:rPr>
          <w:rFonts w:ascii="Bookman Old Style" w:hAnsi="Bookman Old Style" w:cs="Arial"/>
        </w:rPr>
        <w:t xml:space="preserve"> shall maintain and preserve transaction-related records for a period of five years</w:t>
      </w:r>
      <w:r w:rsidR="00C96861" w:rsidRPr="00810505">
        <w:rPr>
          <w:rFonts w:ascii="Bookman Old Style" w:hAnsi="Bookman Old Style" w:cs="Arial"/>
        </w:rPr>
        <w:t xml:space="preserve"> after the business relationship </w:t>
      </w:r>
      <w:r w:rsidR="00B5239C" w:rsidRPr="00810505">
        <w:rPr>
          <w:rFonts w:ascii="Bookman Old Style" w:hAnsi="Bookman Old Style" w:cs="Arial"/>
        </w:rPr>
        <w:t xml:space="preserve">between a client and </w:t>
      </w:r>
      <w:r w:rsidR="002E7AC9" w:rsidRPr="00810505">
        <w:rPr>
          <w:rFonts w:ascii="Bookman Old Style" w:hAnsi="Bookman Old Style" w:cs="Arial"/>
        </w:rPr>
        <w:t>Portfolio Manager</w:t>
      </w:r>
      <w:r w:rsidR="00B5239C" w:rsidRPr="00810505">
        <w:rPr>
          <w:rFonts w:ascii="Bookman Old Style" w:hAnsi="Bookman Old Style" w:cs="Arial"/>
        </w:rPr>
        <w:t xml:space="preserve"> has</w:t>
      </w:r>
      <w:r w:rsidR="00382106" w:rsidRPr="00810505">
        <w:rPr>
          <w:rFonts w:ascii="Bookman Old Style" w:hAnsi="Bookman Old Style" w:cs="Arial"/>
        </w:rPr>
        <w:t xml:space="preserve"> ended or the account has been closed, whichever is later</w:t>
      </w:r>
      <w:r w:rsidRPr="00810505">
        <w:rPr>
          <w:rFonts w:ascii="Bookman Old Style" w:hAnsi="Bookman Old Style" w:cs="Arial"/>
        </w:rPr>
        <w:t>. This includes records related to the nature, amount, currency, date, and parties involved in each transaction.</w:t>
      </w:r>
    </w:p>
    <w:p w14:paraId="058AB618" w14:textId="1ABBE0C0" w:rsidR="009C0710" w:rsidRPr="00810505" w:rsidRDefault="009C0710" w:rsidP="00FC23D3">
      <w:pPr>
        <w:jc w:val="both"/>
        <w:rPr>
          <w:rFonts w:ascii="Bookman Old Style" w:hAnsi="Bookman Old Style" w:cs="Arial"/>
        </w:rPr>
      </w:pPr>
      <w:r w:rsidRPr="00810505">
        <w:rPr>
          <w:rFonts w:ascii="Bookman Old Style" w:hAnsi="Bookman Old Style" w:cs="Arial"/>
        </w:rPr>
        <w:t>In cases where records pertain to ongoing investigations or transactions that are the subject of suspicious transaction reports (STRs), these records shall be retained until the investigating authorities confirm that the case has been closed.</w:t>
      </w:r>
    </w:p>
    <w:p w14:paraId="01C3CEEB" w14:textId="0070A097" w:rsidR="00760042"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760042" w:rsidRPr="00810505">
        <w:rPr>
          <w:rFonts w:ascii="Bookman Old Style" w:hAnsi="Bookman Old Style" w:cs="Arial"/>
        </w:rPr>
        <w:t xml:space="preserve"> will retain records related to transactions that have been reported to the Director, FIU-IND, as required under Rules 7 and 8 of the PML Rules. These records will be preserved for a period of five years from the date of the transaction between the client and </w:t>
      </w:r>
      <w:r w:rsidRPr="00810505">
        <w:rPr>
          <w:rFonts w:ascii="Bookman Old Style" w:hAnsi="Bookman Old Style" w:cs="Arial"/>
        </w:rPr>
        <w:t>Portfolio Manager</w:t>
      </w:r>
      <w:r w:rsidR="00065984" w:rsidRPr="00810505">
        <w:rPr>
          <w:rFonts w:ascii="Bookman Old Style" w:hAnsi="Bookman Old Style" w:cs="Arial"/>
        </w:rPr>
        <w:t>.</w:t>
      </w:r>
    </w:p>
    <w:p w14:paraId="0AA7858E" w14:textId="77777777" w:rsidR="00AF7ABB" w:rsidRPr="00810505" w:rsidRDefault="00F9216C" w:rsidP="00FC23D3">
      <w:pPr>
        <w:pStyle w:val="Heading1"/>
        <w:jc w:val="both"/>
        <w:rPr>
          <w:rFonts w:ascii="Bookman Old Style" w:hAnsi="Bookman Old Style" w:cs="Arial"/>
          <w:sz w:val="20"/>
          <w:szCs w:val="20"/>
        </w:rPr>
      </w:pPr>
      <w:bookmarkStart w:id="19" w:name="_Toc185874090"/>
      <w:bookmarkStart w:id="20" w:name="_Toc229159942"/>
      <w:r w:rsidRPr="00810505">
        <w:rPr>
          <w:rFonts w:ascii="Bookman Old Style" w:hAnsi="Bookman Old Style" w:cs="Arial"/>
          <w:sz w:val="20"/>
          <w:szCs w:val="20"/>
        </w:rPr>
        <w:t>Procedure for freezing of funds, financial assets</w:t>
      </w:r>
      <w:bookmarkEnd w:id="19"/>
      <w:r w:rsidR="00AF7ABB" w:rsidRPr="00810505">
        <w:rPr>
          <w:rFonts w:ascii="Bookman Old Style" w:hAnsi="Bookman Old Style" w:cs="Arial"/>
          <w:sz w:val="20"/>
          <w:szCs w:val="20"/>
        </w:rPr>
        <w:t xml:space="preserve"> </w:t>
      </w:r>
      <w:bookmarkStart w:id="21" w:name="_Toc185874091"/>
      <w:bookmarkStart w:id="22" w:name="_Toc189234456"/>
      <w:r w:rsidR="00AF7ABB" w:rsidRPr="00810505">
        <w:rPr>
          <w:rFonts w:ascii="Bookman Old Style" w:hAnsi="Bookman Old Style" w:cs="Arial"/>
          <w:sz w:val="20"/>
          <w:szCs w:val="20"/>
        </w:rPr>
        <w:t>or</w:t>
      </w:r>
      <w:bookmarkEnd w:id="21"/>
      <w:bookmarkEnd w:id="22"/>
      <w:r w:rsidR="00AF7ABB" w:rsidRPr="00810505">
        <w:rPr>
          <w:rFonts w:ascii="Bookman Old Style" w:hAnsi="Bookman Old Style" w:cs="Arial"/>
          <w:sz w:val="20"/>
          <w:szCs w:val="20"/>
        </w:rPr>
        <w:t xml:space="preserve"> </w:t>
      </w:r>
      <w:bookmarkStart w:id="23" w:name="_Toc185874092"/>
      <w:r w:rsidR="00AF7ABB" w:rsidRPr="00810505">
        <w:rPr>
          <w:rFonts w:ascii="Bookman Old Style" w:hAnsi="Bookman Old Style" w:cs="Arial"/>
          <w:sz w:val="20"/>
          <w:szCs w:val="20"/>
        </w:rPr>
        <w:t>economic resources</w:t>
      </w:r>
      <w:bookmarkEnd w:id="23"/>
      <w:r w:rsidR="00AF7ABB" w:rsidRPr="00810505">
        <w:rPr>
          <w:rFonts w:ascii="Bookman Old Style" w:hAnsi="Bookman Old Style" w:cs="Arial"/>
          <w:sz w:val="20"/>
          <w:szCs w:val="20"/>
        </w:rPr>
        <w:t xml:space="preserve"> </w:t>
      </w:r>
      <w:bookmarkStart w:id="24" w:name="_Toc185874093"/>
      <w:r w:rsidR="00AF7ABB" w:rsidRPr="00810505">
        <w:rPr>
          <w:rFonts w:ascii="Bookman Old Style" w:hAnsi="Bookman Old Style" w:cs="Arial"/>
          <w:sz w:val="20"/>
          <w:szCs w:val="20"/>
        </w:rPr>
        <w:t>or</w:t>
      </w:r>
      <w:bookmarkEnd w:id="24"/>
      <w:r w:rsidR="00AF7ABB" w:rsidRPr="00810505">
        <w:rPr>
          <w:rFonts w:ascii="Bookman Old Style" w:hAnsi="Bookman Old Style" w:cs="Arial"/>
          <w:sz w:val="20"/>
          <w:szCs w:val="20"/>
        </w:rPr>
        <w:t xml:space="preserve"> </w:t>
      </w:r>
      <w:bookmarkStart w:id="25" w:name="_Toc185874094"/>
      <w:r w:rsidR="00AF7ABB" w:rsidRPr="00810505">
        <w:rPr>
          <w:rFonts w:ascii="Bookman Old Style" w:hAnsi="Bookman Old Style" w:cs="Arial"/>
          <w:sz w:val="20"/>
          <w:szCs w:val="20"/>
        </w:rPr>
        <w:t>related services</w:t>
      </w:r>
      <w:bookmarkEnd w:id="20"/>
      <w:bookmarkEnd w:id="25"/>
    </w:p>
    <w:p w14:paraId="4D244F4E" w14:textId="16059AC2" w:rsidR="00F9216C"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F9216C" w:rsidRPr="00810505">
        <w:rPr>
          <w:rFonts w:ascii="Bookman Old Style" w:hAnsi="Bookman Old Style" w:cs="Arial"/>
        </w:rPr>
        <w:t xml:space="preserve"> shall ensure that in terms of Section 51A of the Unlawful Activities (Prevention) Act, 1967 (UAPA) and amendments thereto, they do not have any accounts in the name of individuals/entities appearing in the lists of individuals and entities, suspected of having terrorist links, which are approved by and periodically circulated by the United Nations Security Council (UNSC).</w:t>
      </w:r>
    </w:p>
    <w:p w14:paraId="05034233" w14:textId="77777777" w:rsidR="00F9216C" w:rsidRPr="00810505" w:rsidRDefault="00F9216C" w:rsidP="00FC23D3">
      <w:pPr>
        <w:jc w:val="both"/>
        <w:rPr>
          <w:rFonts w:ascii="Bookman Old Style" w:hAnsi="Bookman Old Style" w:cs="Arial"/>
        </w:rPr>
      </w:pPr>
      <w:r w:rsidRPr="00810505">
        <w:rPr>
          <w:rFonts w:ascii="Bookman Old Style" w:hAnsi="Bookman Old Style" w:cs="Arial"/>
        </w:rPr>
        <w:t>In order to ensure expeditious and effective implementation of the provisions of Section 51A of UAPA, the Government of India has outlined a procedure through an order dated February 02, 2021 (</w:t>
      </w:r>
      <w:hyperlink r:id="rId8">
        <w:r w:rsidRPr="00810505">
          <w:rPr>
            <w:rFonts w:ascii="Bookman Old Style" w:hAnsi="Bookman Old Style" w:cs="Arial"/>
            <w:color w:val="0563C1"/>
            <w:u w:val="single" w:color="0563C1"/>
          </w:rPr>
          <w:t>Annexure 1</w:t>
        </w:r>
      </w:hyperlink>
      <w:hyperlink r:id="rId9">
        <w:r w:rsidRPr="00810505">
          <w:rPr>
            <w:rFonts w:ascii="Bookman Old Style" w:hAnsi="Bookman Old Style" w:cs="Arial"/>
          </w:rPr>
          <w:t>)</w:t>
        </w:r>
      </w:hyperlink>
      <w:r w:rsidRPr="00810505">
        <w:rPr>
          <w:rFonts w:ascii="Bookman Old Style" w:hAnsi="Bookman Old Style" w:cs="Arial"/>
        </w:rPr>
        <w:t>for strict compliance. These guidelines have been further amended vide a Gazette Notification dated June 08, 2021 (</w:t>
      </w:r>
      <w:hyperlink r:id="rId10">
        <w:r w:rsidRPr="00810505">
          <w:rPr>
            <w:rFonts w:ascii="Bookman Old Style" w:hAnsi="Bookman Old Style" w:cs="Arial"/>
            <w:color w:val="0563C1"/>
            <w:u w:val="single" w:color="0563C1"/>
          </w:rPr>
          <w:t>Annexure 2</w:t>
        </w:r>
      </w:hyperlink>
      <w:hyperlink r:id="rId11">
        <w:r w:rsidRPr="00810505">
          <w:rPr>
            <w:rFonts w:ascii="Bookman Old Style" w:hAnsi="Bookman Old Style" w:cs="Arial"/>
          </w:rPr>
          <w:t>)</w:t>
        </w:r>
      </w:hyperlink>
      <w:r w:rsidRPr="00810505">
        <w:rPr>
          <w:rFonts w:ascii="Bookman Old Style" w:hAnsi="Bookman Old Style" w:cs="Arial"/>
        </w:rPr>
        <w:t>.  Corrigenda dated March 15, 2023, and April 22, 2024, have also been issued in this regard (</w:t>
      </w:r>
      <w:hyperlink r:id="rId12">
        <w:r w:rsidRPr="00810505">
          <w:rPr>
            <w:rFonts w:ascii="Bookman Old Style" w:hAnsi="Bookman Old Style" w:cs="Arial"/>
            <w:color w:val="0563C1"/>
            <w:u w:val="single" w:color="0563C1"/>
          </w:rPr>
          <w:t>Annexure 3</w:t>
        </w:r>
      </w:hyperlink>
      <w:hyperlink r:id="rId13">
        <w:r w:rsidRPr="00810505">
          <w:rPr>
            <w:rFonts w:ascii="Bookman Old Style" w:hAnsi="Bookman Old Style" w:cs="Arial"/>
            <w:color w:val="0563C1"/>
            <w:u w:val="single" w:color="0563C1"/>
          </w:rPr>
          <w:t>)</w:t>
        </w:r>
      </w:hyperlink>
      <w:r w:rsidRPr="00810505">
        <w:rPr>
          <w:rFonts w:ascii="Bookman Old Style" w:hAnsi="Bookman Old Style" w:cs="Arial"/>
          <w:color w:val="0563C1"/>
          <w:u w:val="single" w:color="0563C1"/>
        </w:rPr>
        <w:t xml:space="preserve"> </w:t>
      </w:r>
      <w:r w:rsidRPr="00810505">
        <w:rPr>
          <w:rFonts w:ascii="Bookman Old Style" w:hAnsi="Bookman Old Style" w:cs="Arial"/>
        </w:rPr>
        <w:t>and</w:t>
      </w:r>
      <w:hyperlink r:id="rId14">
        <w:r w:rsidRPr="00810505">
          <w:rPr>
            <w:rFonts w:ascii="Bookman Old Style" w:hAnsi="Bookman Old Style" w:cs="Arial"/>
          </w:rPr>
          <w:t xml:space="preserve"> </w:t>
        </w:r>
      </w:hyperlink>
      <w:hyperlink r:id="rId15">
        <w:r w:rsidRPr="00810505">
          <w:rPr>
            <w:rFonts w:ascii="Bookman Old Style" w:hAnsi="Bookman Old Style" w:cs="Arial"/>
            <w:color w:val="0563C1"/>
            <w:u w:val="single" w:color="0563C1"/>
          </w:rPr>
          <w:t>(Annexure 4</w:t>
        </w:r>
      </w:hyperlink>
      <w:r w:rsidRPr="00810505">
        <w:rPr>
          <w:rFonts w:ascii="Bookman Old Style" w:hAnsi="Bookman Old Style" w:cs="Arial"/>
        </w:rPr>
        <w:t>). The list of Nodal Officers for UAPA is available on the website of MHA.</w:t>
      </w:r>
    </w:p>
    <w:p w14:paraId="00A1A335" w14:textId="77777777" w:rsidR="00883315" w:rsidRPr="00810505" w:rsidRDefault="00883315" w:rsidP="00FC23D3">
      <w:pPr>
        <w:pStyle w:val="Heading1"/>
        <w:jc w:val="both"/>
        <w:rPr>
          <w:rFonts w:ascii="Bookman Old Style" w:hAnsi="Bookman Old Style" w:cs="Arial"/>
          <w:sz w:val="20"/>
          <w:szCs w:val="20"/>
        </w:rPr>
      </w:pPr>
      <w:bookmarkStart w:id="26" w:name="_Toc185874095"/>
      <w:bookmarkStart w:id="27" w:name="_Toc229159943"/>
      <w:r w:rsidRPr="00810505">
        <w:rPr>
          <w:rFonts w:ascii="Bookman Old Style" w:hAnsi="Bookman Old Style" w:cs="Arial"/>
          <w:sz w:val="20"/>
          <w:szCs w:val="20"/>
        </w:rPr>
        <w:t>Procedure for implementation of Section 12A of the Weapons of Mass Destruction and their Delivery Systems (Prohibition of Unlawful Activities) Act, 2005 – Directions to stock exchanges and registered intermediaries</w:t>
      </w:r>
      <w:bookmarkEnd w:id="26"/>
      <w:bookmarkEnd w:id="27"/>
    </w:p>
    <w:p w14:paraId="53FEE2C6" w14:textId="77777777" w:rsidR="00883315" w:rsidRPr="00810505" w:rsidRDefault="00883315" w:rsidP="00FC23D3">
      <w:pPr>
        <w:jc w:val="both"/>
        <w:rPr>
          <w:rFonts w:ascii="Bookman Old Style" w:hAnsi="Bookman Old Style" w:cs="Arial"/>
        </w:rPr>
      </w:pPr>
      <w:r w:rsidRPr="00810505">
        <w:rPr>
          <w:rFonts w:ascii="Bookman Old Style" w:hAnsi="Bookman Old Style" w:cs="Arial"/>
        </w:rPr>
        <w:t>The Government of India, Ministry of Finance has issued an order dated January 30, 2023 vide F. No. P-12011/14/2022-ES Cell-DOR (“the Order”) detailing the procedure for implementation of Section 12A of the Weapons of Mass Destruction and their Delivery Systems (Prohibition of Unlawful Activities) Act, 2005 (“WMD Act”). The Order may be accessed by clicking on DoR_Section_12A_WMD.pdf.</w:t>
      </w:r>
    </w:p>
    <w:p w14:paraId="744E9A72" w14:textId="77777777" w:rsidR="00883315" w:rsidRPr="00810505" w:rsidRDefault="00883315" w:rsidP="00FC23D3">
      <w:pPr>
        <w:jc w:val="both"/>
        <w:rPr>
          <w:rFonts w:ascii="Bookman Old Style" w:hAnsi="Bookman Old Style" w:cs="Arial"/>
        </w:rPr>
      </w:pPr>
      <w:r w:rsidRPr="00810505">
        <w:rPr>
          <w:rFonts w:ascii="Bookman Old Style" w:hAnsi="Bookman Old Style" w:cs="Arial"/>
        </w:rPr>
        <w:t>In terms of Section 12A of the WMD Act, the Central Government is empowered as under: “(2) For prevention of financing by any person of any activity which is prohibited under the WMD Act, or under the United Nations (Security Council) Act, 1947 or any other relevant Act for the time being in force, or by an order issued under any such Act, in relation to weapons of mass destruction and their delivery systems, the Central Government shall have power to—</w:t>
      </w:r>
    </w:p>
    <w:p w14:paraId="06880EE3" w14:textId="77777777" w:rsidR="00883315" w:rsidRPr="00810505" w:rsidRDefault="00883315" w:rsidP="00FC23D3">
      <w:pPr>
        <w:jc w:val="both"/>
        <w:rPr>
          <w:rFonts w:ascii="Bookman Old Style" w:hAnsi="Bookman Old Style" w:cs="Arial"/>
        </w:rPr>
      </w:pPr>
      <w:r w:rsidRPr="00810505">
        <w:rPr>
          <w:rFonts w:ascii="Bookman Old Style" w:hAnsi="Bookman Old Style" w:cs="Arial"/>
        </w:rPr>
        <w:t xml:space="preserve">(a) Freeze, seize or attach funds or other financial assets or economic resources— </w:t>
      </w:r>
    </w:p>
    <w:p w14:paraId="2CAFDD87" w14:textId="77777777" w:rsidR="00883315" w:rsidRPr="00810505" w:rsidRDefault="00883315">
      <w:pPr>
        <w:pStyle w:val="ListParagraph"/>
        <w:numPr>
          <w:ilvl w:val="1"/>
          <w:numId w:val="26"/>
        </w:numPr>
        <w:jc w:val="both"/>
        <w:rPr>
          <w:rFonts w:ascii="Bookman Old Style" w:hAnsi="Bookman Old Style" w:cs="Arial"/>
        </w:rPr>
      </w:pPr>
      <w:r w:rsidRPr="00810505">
        <w:rPr>
          <w:rFonts w:ascii="Bookman Old Style" w:hAnsi="Bookman Old Style" w:cs="Arial"/>
        </w:rPr>
        <w:lastRenderedPageBreak/>
        <w:t xml:space="preserve">owned or controlled, wholly or jointly, directly or indirectly, by such person; or </w:t>
      </w:r>
    </w:p>
    <w:p w14:paraId="71D24D52" w14:textId="77777777" w:rsidR="00883315" w:rsidRPr="00810505" w:rsidRDefault="00883315">
      <w:pPr>
        <w:pStyle w:val="ListParagraph"/>
        <w:numPr>
          <w:ilvl w:val="1"/>
          <w:numId w:val="26"/>
        </w:numPr>
        <w:jc w:val="both"/>
        <w:rPr>
          <w:rFonts w:ascii="Bookman Old Style" w:hAnsi="Bookman Old Style" w:cs="Arial"/>
        </w:rPr>
      </w:pPr>
      <w:r w:rsidRPr="00810505">
        <w:rPr>
          <w:rFonts w:ascii="Bookman Old Style" w:hAnsi="Bookman Old Style" w:cs="Arial"/>
        </w:rPr>
        <w:t xml:space="preserve">held by or on behalf of, or at the direction of, such person; or </w:t>
      </w:r>
    </w:p>
    <w:p w14:paraId="2BED355B" w14:textId="77777777" w:rsidR="00883315" w:rsidRPr="00810505" w:rsidRDefault="00883315">
      <w:pPr>
        <w:pStyle w:val="ListParagraph"/>
        <w:numPr>
          <w:ilvl w:val="1"/>
          <w:numId w:val="26"/>
        </w:numPr>
        <w:jc w:val="both"/>
        <w:rPr>
          <w:rFonts w:ascii="Bookman Old Style" w:hAnsi="Bookman Old Style" w:cs="Arial"/>
        </w:rPr>
      </w:pPr>
      <w:r w:rsidRPr="00810505">
        <w:rPr>
          <w:rFonts w:ascii="Bookman Old Style" w:hAnsi="Bookman Old Style" w:cs="Arial"/>
        </w:rPr>
        <w:t>derived or generated from the funds or other assets owned or controlled, directly or indirectly, by such person;</w:t>
      </w:r>
    </w:p>
    <w:p w14:paraId="4624B38F" w14:textId="77777777" w:rsidR="00883315" w:rsidRPr="00810505" w:rsidRDefault="00883315" w:rsidP="00FC23D3">
      <w:pPr>
        <w:jc w:val="both"/>
        <w:rPr>
          <w:rFonts w:ascii="Bookman Old Style" w:hAnsi="Bookman Old Style" w:cs="Arial"/>
        </w:rPr>
      </w:pPr>
      <w:r w:rsidRPr="00810505">
        <w:rPr>
          <w:rFonts w:ascii="Bookman Old Style" w:hAnsi="Bookman Old Style" w:cs="Arial"/>
        </w:rPr>
        <w:t xml:space="preserve">(b) Prohibit any person from making funds, financial assets or economic resources or related services available for the benefit of persons related to any activity which is prohibited under the WMD Act, or under the United Nations (Security Council) Act, 1947 or any other relevant Act for the time being in force, or by an order issued under any such Act, in relation to weapons of mass destruction and their delivery systems. </w:t>
      </w:r>
    </w:p>
    <w:p w14:paraId="09094414" w14:textId="77777777" w:rsidR="00883315" w:rsidRPr="00810505" w:rsidRDefault="00883315" w:rsidP="00FC23D3">
      <w:pPr>
        <w:jc w:val="both"/>
        <w:rPr>
          <w:rFonts w:ascii="Bookman Old Style" w:hAnsi="Bookman Old Style" w:cs="Arial"/>
        </w:rPr>
      </w:pPr>
      <w:r w:rsidRPr="00810505">
        <w:rPr>
          <w:rFonts w:ascii="Bookman Old Style" w:hAnsi="Bookman Old Style" w:cs="Arial"/>
        </w:rPr>
        <w:t>The Central Government may exercise its powers under this section through any authority who has been assigned the power under sub-section (1) of section 7.”</w:t>
      </w:r>
    </w:p>
    <w:p w14:paraId="43855F8C" w14:textId="02B63AA8" w:rsidR="00883315"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883315" w:rsidRPr="00810505">
        <w:rPr>
          <w:rFonts w:ascii="Bookman Old Style" w:hAnsi="Bookman Old Style" w:cs="Arial"/>
        </w:rPr>
        <w:t xml:space="preserve"> is directed to comply with the procedure laid down in the said Order.</w:t>
      </w:r>
    </w:p>
    <w:p w14:paraId="6EAF651C" w14:textId="08332974" w:rsidR="00883315"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883315" w:rsidRPr="00810505">
        <w:rPr>
          <w:rFonts w:ascii="Bookman Old Style" w:hAnsi="Bookman Old Style" w:cs="Arial"/>
        </w:rPr>
        <w:t xml:space="preserve"> shall:</w:t>
      </w:r>
    </w:p>
    <w:p w14:paraId="59C6C88C" w14:textId="77777777" w:rsidR="00883315" w:rsidRPr="00810505" w:rsidRDefault="00883315">
      <w:pPr>
        <w:pStyle w:val="ListParagraph"/>
        <w:numPr>
          <w:ilvl w:val="2"/>
          <w:numId w:val="27"/>
        </w:numPr>
        <w:jc w:val="both"/>
        <w:rPr>
          <w:rFonts w:ascii="Bookman Old Style" w:hAnsi="Bookman Old Style" w:cs="Arial"/>
        </w:rPr>
      </w:pPr>
      <w:r w:rsidRPr="00810505">
        <w:rPr>
          <w:rFonts w:ascii="Bookman Old Style" w:hAnsi="Bookman Old Style" w:cs="Arial"/>
        </w:rPr>
        <w:t>Maintain the list of individuals/entities (“Designated List”) and update it, without delay, in terms of paragraph 2.1 of the Order.</w:t>
      </w:r>
    </w:p>
    <w:p w14:paraId="7E41BFAE" w14:textId="3B049586" w:rsidR="006F6DAD" w:rsidRPr="00810505" w:rsidRDefault="00883315">
      <w:pPr>
        <w:pStyle w:val="ListParagraph"/>
        <w:numPr>
          <w:ilvl w:val="2"/>
          <w:numId w:val="27"/>
        </w:numPr>
        <w:jc w:val="both"/>
        <w:rPr>
          <w:rFonts w:ascii="Bookman Old Style" w:hAnsi="Bookman Old Style" w:cs="Arial"/>
        </w:rPr>
      </w:pPr>
      <w:r w:rsidRPr="00810505">
        <w:rPr>
          <w:rFonts w:ascii="Bookman Old Style" w:hAnsi="Bookman Old Style" w:cs="Arial"/>
        </w:rPr>
        <w:t xml:space="preserve">Verify if the particulars of the entities/individual, party to the financial transactions, match with the particulars of the Designated List and in case of match, </w:t>
      </w:r>
      <w:r w:rsidR="002E7AC9" w:rsidRPr="00810505">
        <w:rPr>
          <w:rFonts w:ascii="Bookman Old Style" w:hAnsi="Bookman Old Style" w:cs="Arial"/>
        </w:rPr>
        <w:t>Portfolio Manager</w:t>
      </w:r>
      <w:r w:rsidRPr="00810505">
        <w:rPr>
          <w:rFonts w:ascii="Bookman Old Style" w:hAnsi="Bookman Old Style" w:cs="Arial"/>
        </w:rPr>
        <w:t xml:space="preserve"> shall not carry out such transaction and shall immediately inform the transaction details with full particulars of the funds, financial assets, or economic resources involved to the Central Nodal Officer (“CNO”), without delay. The details of the CNO are as under:</w:t>
      </w:r>
    </w:p>
    <w:p w14:paraId="3B637404" w14:textId="1B42673E" w:rsidR="006F6DAD" w:rsidRPr="00810505" w:rsidRDefault="006F6DAD" w:rsidP="00FC23D3">
      <w:pPr>
        <w:spacing w:before="0" w:after="0" w:line="240" w:lineRule="auto"/>
        <w:jc w:val="both"/>
        <w:rPr>
          <w:rFonts w:ascii="Bookman Old Style" w:hAnsi="Bookman Old Style" w:cs="Arial"/>
        </w:rPr>
      </w:pPr>
      <w:r w:rsidRPr="00810505">
        <w:rPr>
          <w:rFonts w:ascii="Bookman Old Style" w:hAnsi="Bookman Old Style" w:cs="Arial"/>
        </w:rPr>
        <w:t>The Director FIU-INDIA</w:t>
      </w:r>
    </w:p>
    <w:p w14:paraId="71669664" w14:textId="77777777" w:rsidR="006F6DAD" w:rsidRPr="00810505" w:rsidRDefault="006F6DAD" w:rsidP="00FC23D3">
      <w:pPr>
        <w:spacing w:before="0" w:after="0" w:line="240" w:lineRule="auto"/>
        <w:jc w:val="both"/>
        <w:rPr>
          <w:rFonts w:ascii="Bookman Old Style" w:hAnsi="Bookman Old Style" w:cs="Arial"/>
        </w:rPr>
      </w:pPr>
      <w:proofErr w:type="spellStart"/>
      <w:r w:rsidRPr="00810505">
        <w:rPr>
          <w:rFonts w:ascii="Bookman Old Style" w:hAnsi="Bookman Old Style" w:cs="Arial"/>
        </w:rPr>
        <w:t>Tel.No</w:t>
      </w:r>
      <w:proofErr w:type="spellEnd"/>
      <w:r w:rsidRPr="00810505">
        <w:rPr>
          <w:rFonts w:ascii="Bookman Old Style" w:hAnsi="Bookman Old Style" w:cs="Arial"/>
        </w:rPr>
        <w:t>.: 011-23314458, 011-23314459 (FAX)</w:t>
      </w:r>
    </w:p>
    <w:p w14:paraId="07A46B79" w14:textId="77777777" w:rsidR="006F6DAD" w:rsidRPr="00810505" w:rsidRDefault="006F6DAD" w:rsidP="00FC23D3">
      <w:pPr>
        <w:spacing w:before="0" w:after="0" w:line="240" w:lineRule="auto"/>
        <w:jc w:val="both"/>
        <w:rPr>
          <w:rFonts w:ascii="Bookman Old Style" w:hAnsi="Bookman Old Style" w:cs="Arial"/>
        </w:rPr>
      </w:pPr>
      <w:r w:rsidRPr="00810505">
        <w:rPr>
          <w:rFonts w:ascii="Bookman Old Style" w:hAnsi="Bookman Old Style" w:cs="Arial"/>
        </w:rPr>
        <w:t>Email: dir@fiuindia.gov.in</w:t>
      </w:r>
    </w:p>
    <w:p w14:paraId="49BBBF39" w14:textId="47DEAC5A" w:rsidR="006F6DAD" w:rsidRPr="00810505" w:rsidRDefault="002E7AC9">
      <w:pPr>
        <w:pStyle w:val="ListParagraph"/>
        <w:numPr>
          <w:ilvl w:val="0"/>
          <w:numId w:val="28"/>
        </w:numPr>
        <w:jc w:val="both"/>
        <w:rPr>
          <w:rFonts w:ascii="Bookman Old Style" w:hAnsi="Bookman Old Style" w:cs="Arial"/>
        </w:rPr>
      </w:pPr>
      <w:r w:rsidRPr="00810505">
        <w:rPr>
          <w:rFonts w:ascii="Bookman Old Style" w:hAnsi="Bookman Old Style" w:cs="Arial"/>
        </w:rPr>
        <w:t>Portfolio Manager</w:t>
      </w:r>
      <w:r w:rsidR="00943580" w:rsidRPr="00810505">
        <w:rPr>
          <w:rFonts w:ascii="Bookman Old Style" w:hAnsi="Bookman Old Style" w:cs="Arial"/>
        </w:rPr>
        <w:t xml:space="preserve"> shall r</w:t>
      </w:r>
      <w:r w:rsidR="006F6DAD" w:rsidRPr="00810505">
        <w:rPr>
          <w:rFonts w:ascii="Bookman Old Style" w:hAnsi="Bookman Old Style" w:cs="Arial"/>
        </w:rPr>
        <w:t xml:space="preserve">un a check, on the given parameters, at the time of establishing a relation with a client and on a periodic basis to verify whether individuals and entities in the Designated List are holding any funds, financial assets, or economic resources or related services, in the form of bank accounts, stocks, insurance policies, etc. In case the clients’ particulars match with the particulars of the Designated List, </w:t>
      </w:r>
      <w:r w:rsidRPr="00810505">
        <w:rPr>
          <w:rFonts w:ascii="Bookman Old Style" w:hAnsi="Bookman Old Style" w:cs="Arial"/>
        </w:rPr>
        <w:t>Portfolio Manager</w:t>
      </w:r>
      <w:r w:rsidR="006F6DAD" w:rsidRPr="00810505">
        <w:rPr>
          <w:rFonts w:ascii="Bookman Old Style" w:hAnsi="Bookman Old Style" w:cs="Arial"/>
        </w:rPr>
        <w:t xml:space="preserve"> shall immediately inform full particulars of the funds, financial assets, or economic resources or related services held in the form of bank accounts, stocks, or insurance policies etc., held on their books to the CNO, without delay.</w:t>
      </w:r>
    </w:p>
    <w:p w14:paraId="42A3C560" w14:textId="00E35EFE" w:rsidR="006F6DAD" w:rsidRPr="00810505" w:rsidRDefault="002E7AC9">
      <w:pPr>
        <w:pStyle w:val="ListParagraph"/>
        <w:numPr>
          <w:ilvl w:val="0"/>
          <w:numId w:val="28"/>
        </w:numPr>
        <w:jc w:val="both"/>
        <w:rPr>
          <w:rFonts w:ascii="Bookman Old Style" w:hAnsi="Bookman Old Style" w:cs="Arial"/>
        </w:rPr>
      </w:pPr>
      <w:r w:rsidRPr="00810505">
        <w:rPr>
          <w:rFonts w:ascii="Bookman Old Style" w:hAnsi="Bookman Old Style" w:cs="Arial"/>
        </w:rPr>
        <w:t>Portfolio Manager</w:t>
      </w:r>
      <w:r w:rsidR="007200FD" w:rsidRPr="00810505">
        <w:rPr>
          <w:rFonts w:ascii="Bookman Old Style" w:hAnsi="Bookman Old Style" w:cs="Arial"/>
        </w:rPr>
        <w:t xml:space="preserve"> will s</w:t>
      </w:r>
      <w:r w:rsidR="006F6DAD" w:rsidRPr="00810505">
        <w:rPr>
          <w:rFonts w:ascii="Bookman Old Style" w:hAnsi="Bookman Old Style" w:cs="Arial"/>
        </w:rPr>
        <w:t xml:space="preserve">end a copy of the </w:t>
      </w:r>
      <w:r w:rsidR="007200FD" w:rsidRPr="00810505">
        <w:rPr>
          <w:rFonts w:ascii="Bookman Old Style" w:hAnsi="Bookman Old Style" w:cs="Arial"/>
        </w:rPr>
        <w:t>communication</w:t>
      </w:r>
      <w:r w:rsidR="006F6DAD" w:rsidRPr="00810505">
        <w:rPr>
          <w:rFonts w:ascii="Bookman Old Style" w:hAnsi="Bookman Old Style" w:cs="Arial"/>
        </w:rPr>
        <w:t xml:space="preserve"> mentioned in paragraphs 59(ii) and 59(iii) above, without delay, to the Nodal Officer of SEBI. The communication shall be sent to SEBI through post and through email (sebi_uapa@sebi.gov.in) to the Nodal Officer of SEBI, Deputy General Manager, Division of FATF, Market Intermediaries Regulation and Supervision Department, Securities and Exchange Board of India, SEBI Bhavan II, Plot No. C7, “G” Block, Bandra Kurla Complex, Bandra (E), Mumbai 400 051.</w:t>
      </w:r>
    </w:p>
    <w:p w14:paraId="1FD7BB49" w14:textId="35B6A517" w:rsidR="006F6DAD" w:rsidRPr="00810505" w:rsidRDefault="002E7AC9">
      <w:pPr>
        <w:pStyle w:val="ListParagraph"/>
        <w:numPr>
          <w:ilvl w:val="0"/>
          <w:numId w:val="28"/>
        </w:numPr>
        <w:jc w:val="both"/>
        <w:rPr>
          <w:rFonts w:ascii="Bookman Old Style" w:hAnsi="Bookman Old Style" w:cs="Arial"/>
        </w:rPr>
      </w:pPr>
      <w:r w:rsidRPr="00810505">
        <w:rPr>
          <w:rFonts w:ascii="Bookman Old Style" w:hAnsi="Bookman Old Style" w:cs="Arial"/>
        </w:rPr>
        <w:t>Portfolio Manager</w:t>
      </w:r>
      <w:r w:rsidR="008842B7" w:rsidRPr="00810505">
        <w:rPr>
          <w:rFonts w:ascii="Bookman Old Style" w:hAnsi="Bookman Old Style" w:cs="Arial"/>
        </w:rPr>
        <w:t xml:space="preserve"> will p</w:t>
      </w:r>
      <w:r w:rsidR="006F6DAD" w:rsidRPr="00810505">
        <w:rPr>
          <w:rFonts w:ascii="Bookman Old Style" w:hAnsi="Bookman Old Style" w:cs="Arial"/>
        </w:rPr>
        <w:t>revent such individual/entity from conducting financial transactions, under intimation to the CNO, without delay, in case there are reasons to believe beyond doubt that funds or assets held by a client would fall under the purview of Section 12A (2)(a) or Section 12A(2)(b) of the WMD Act.</w:t>
      </w:r>
    </w:p>
    <w:p w14:paraId="323896F8" w14:textId="778B0ADF" w:rsidR="006F6DAD" w:rsidRPr="00810505" w:rsidRDefault="002E7AC9">
      <w:pPr>
        <w:pStyle w:val="ListParagraph"/>
        <w:numPr>
          <w:ilvl w:val="0"/>
          <w:numId w:val="28"/>
        </w:numPr>
        <w:jc w:val="both"/>
        <w:rPr>
          <w:rFonts w:ascii="Bookman Old Style" w:hAnsi="Bookman Old Style" w:cs="Arial"/>
        </w:rPr>
      </w:pPr>
      <w:r w:rsidRPr="00810505">
        <w:rPr>
          <w:rFonts w:ascii="Bookman Old Style" w:hAnsi="Bookman Old Style" w:cs="Arial"/>
        </w:rPr>
        <w:lastRenderedPageBreak/>
        <w:t>Portfolio Manager</w:t>
      </w:r>
      <w:r w:rsidR="008842B7" w:rsidRPr="00810505">
        <w:rPr>
          <w:rFonts w:ascii="Bookman Old Style" w:hAnsi="Bookman Old Style" w:cs="Arial"/>
        </w:rPr>
        <w:t xml:space="preserve"> will f</w:t>
      </w:r>
      <w:r w:rsidR="006F6DAD" w:rsidRPr="00810505">
        <w:rPr>
          <w:rFonts w:ascii="Bookman Old Style" w:hAnsi="Bookman Old Style" w:cs="Arial"/>
        </w:rPr>
        <w:t>ile a Suspicious Transaction Report (STR) with the FIU-IND covering all transactions in the accounts, covered under paragraphs 59(ii) and (iii) above, carried through or attempted through.</w:t>
      </w:r>
    </w:p>
    <w:p w14:paraId="049B264C" w14:textId="588BBB47" w:rsidR="006F6DAD"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F6DAD" w:rsidRPr="00810505">
        <w:rPr>
          <w:rFonts w:ascii="Bookman Old Style" w:hAnsi="Bookman Old Style" w:cs="Arial"/>
        </w:rPr>
        <w:t xml:space="preserve"> shall comply with the provisions regarding exemptions from the orders of the CNO and inadvertent freezing of accounts, as may be applicable.</w:t>
      </w:r>
    </w:p>
    <w:p w14:paraId="2FD56E62" w14:textId="77777777" w:rsidR="006E7371" w:rsidRPr="00810505" w:rsidRDefault="006E7371" w:rsidP="00FC23D3">
      <w:pPr>
        <w:pStyle w:val="Heading1"/>
        <w:jc w:val="both"/>
        <w:rPr>
          <w:rFonts w:ascii="Bookman Old Style" w:hAnsi="Bookman Old Style" w:cs="Arial"/>
          <w:sz w:val="20"/>
          <w:szCs w:val="20"/>
        </w:rPr>
      </w:pPr>
      <w:bookmarkStart w:id="28" w:name="_Toc185874097"/>
      <w:bookmarkStart w:id="29" w:name="_Toc229159944"/>
      <w:r w:rsidRPr="00810505">
        <w:rPr>
          <w:rFonts w:ascii="Bookman Old Style" w:hAnsi="Bookman Old Style" w:cs="Arial"/>
          <w:sz w:val="20"/>
          <w:szCs w:val="20"/>
        </w:rPr>
        <w:t>List of Designated Individuals/ Entities</w:t>
      </w:r>
      <w:bookmarkEnd w:id="28"/>
      <w:bookmarkEnd w:id="29"/>
    </w:p>
    <w:p w14:paraId="29F877CD" w14:textId="22FD74A8" w:rsidR="006E7371" w:rsidRPr="00810505" w:rsidRDefault="006E7371" w:rsidP="00FC23D3">
      <w:pPr>
        <w:jc w:val="both"/>
        <w:rPr>
          <w:rFonts w:ascii="Bookman Old Style" w:hAnsi="Bookman Old Style" w:cs="Arial"/>
        </w:rPr>
      </w:pPr>
      <w:r w:rsidRPr="00810505">
        <w:rPr>
          <w:rFonts w:ascii="Bookman Old Style" w:hAnsi="Bookman Old Style" w:cs="Arial"/>
        </w:rPr>
        <w:t xml:space="preserve">The Ministry of Home Affairs, in pursuance of Section 35(1) of UAPA 1967, declares the list of individuals/entities, from time to time, who are designated as 'Terrorists'. </w:t>
      </w:r>
      <w:r w:rsidR="002E7AC9" w:rsidRPr="00810505">
        <w:rPr>
          <w:rFonts w:ascii="Bookman Old Style" w:hAnsi="Bookman Old Style" w:cs="Arial"/>
        </w:rPr>
        <w:t>Portfolio Manager</w:t>
      </w:r>
      <w:r w:rsidRPr="00810505">
        <w:rPr>
          <w:rFonts w:ascii="Bookman Old Style" w:hAnsi="Bookman Old Style" w:cs="Arial"/>
        </w:rPr>
        <w:t xml:space="preserve"> shall take note of such lists of designated individuals/terrorists, as and when communicated by SEBI.</w:t>
      </w:r>
    </w:p>
    <w:p w14:paraId="3C18B0EA" w14:textId="77777777" w:rsidR="006E7371" w:rsidRPr="00810505" w:rsidRDefault="006E7371" w:rsidP="00FC23D3">
      <w:pPr>
        <w:jc w:val="both"/>
        <w:rPr>
          <w:rFonts w:ascii="Bookman Old Style" w:hAnsi="Bookman Old Style" w:cs="Arial"/>
        </w:rPr>
      </w:pPr>
      <w:r w:rsidRPr="00810505">
        <w:rPr>
          <w:rFonts w:ascii="Bookman Old Style" w:hAnsi="Bookman Old Style" w:cs="Arial"/>
        </w:rPr>
        <w:t>All orders under Section 35(1) and 51A of UAPA relating to funds, financial assets, or economic resources or related services, circulated by SEBI from time to time shall be taken note of for compliance.</w:t>
      </w:r>
    </w:p>
    <w:p w14:paraId="1A47D8C0" w14:textId="77777777" w:rsidR="006E7371" w:rsidRPr="00810505" w:rsidRDefault="006E7371" w:rsidP="00FC23D3">
      <w:pPr>
        <w:jc w:val="both"/>
        <w:rPr>
          <w:rFonts w:ascii="Bookman Old Style" w:hAnsi="Bookman Old Style" w:cs="Arial"/>
        </w:rPr>
      </w:pPr>
      <w:r w:rsidRPr="00810505">
        <w:rPr>
          <w:rFonts w:ascii="Bookman Old Style" w:hAnsi="Bookman Old Style" w:cs="Arial"/>
        </w:rPr>
        <w:t>An updated list of individuals and entities which are subject to various sanction measures such as freezing of assets/accounts, denial of financial services etc., as approved by the Security Council Committee established pursuant to various United Nations' Security Council Resolutions (UNSCRs) can be accessed at its website at https://press.un.org/en/content/press-release. The details of the lists are as under:</w:t>
      </w:r>
    </w:p>
    <w:p w14:paraId="3DB906F3" w14:textId="77777777" w:rsidR="0041784F" w:rsidRPr="00810505" w:rsidRDefault="006E7371" w:rsidP="00FC23D3">
      <w:pPr>
        <w:jc w:val="both"/>
        <w:rPr>
          <w:rFonts w:ascii="Bookman Old Style" w:hAnsi="Bookman Old Style" w:cs="Arial"/>
        </w:rPr>
      </w:pPr>
      <w:r w:rsidRPr="00810505">
        <w:rPr>
          <w:rFonts w:ascii="Bookman Old Style" w:hAnsi="Bookman Old Style" w:cs="Arial"/>
        </w:rPr>
        <w:t xml:space="preserve">- The “ISIL (Da’esh) &amp; Al-Qaida Sanctions List”, which includes names of individuals and entities associated with Al-Qaida. The updated ISIL &amp; Al-Qaida Sanctions List is available at: </w:t>
      </w:r>
    </w:p>
    <w:p w14:paraId="51530C20" w14:textId="376B5BB1" w:rsidR="006E7371" w:rsidRPr="00810505" w:rsidRDefault="0041784F" w:rsidP="00FC23D3">
      <w:pPr>
        <w:jc w:val="both"/>
        <w:rPr>
          <w:rFonts w:ascii="Bookman Old Style" w:hAnsi="Bookman Old Style" w:cs="Arial"/>
        </w:rPr>
      </w:pPr>
      <w:hyperlink r:id="rId16" w:history="1">
        <w:r w:rsidRPr="00810505">
          <w:rPr>
            <w:rStyle w:val="Hyperlink"/>
            <w:rFonts w:ascii="Bookman Old Style" w:hAnsi="Bookman Old Style" w:cs="Arial"/>
          </w:rPr>
          <w:t>https://www.un.org/securitycouncil/sanctions/1267/press-releases</w:t>
        </w:r>
      </w:hyperlink>
      <w:r w:rsidR="006E7371" w:rsidRPr="00810505">
        <w:rPr>
          <w:rFonts w:ascii="Bookman Old Style" w:hAnsi="Bookman Old Style" w:cs="Arial"/>
        </w:rPr>
        <w:t>;</w:t>
      </w:r>
    </w:p>
    <w:p w14:paraId="61E66A94" w14:textId="7D1D7FAA" w:rsidR="0041784F" w:rsidRPr="00810505" w:rsidRDefault="006E7371" w:rsidP="00FC23D3">
      <w:pPr>
        <w:jc w:val="both"/>
        <w:rPr>
          <w:rFonts w:ascii="Bookman Old Style" w:hAnsi="Bookman Old Style" w:cs="Arial"/>
        </w:rPr>
      </w:pPr>
      <w:r w:rsidRPr="00810505">
        <w:rPr>
          <w:rFonts w:ascii="Bookman Old Style" w:hAnsi="Bookman Old Style" w:cs="Arial"/>
        </w:rPr>
        <w:t xml:space="preserve">The list issued by United Security Council Resolutions 1718 of designated Individuals and Entities linked to Democratic People's Republic of Korea is available at: </w:t>
      </w:r>
    </w:p>
    <w:p w14:paraId="7A050150" w14:textId="3A622306" w:rsidR="006E7371" w:rsidRPr="00810505" w:rsidRDefault="006E7371" w:rsidP="00FC23D3">
      <w:pPr>
        <w:jc w:val="both"/>
        <w:rPr>
          <w:rFonts w:ascii="Bookman Old Style" w:hAnsi="Bookman Old Style" w:cs="Arial"/>
        </w:rPr>
      </w:pPr>
      <w:r w:rsidRPr="00810505">
        <w:rPr>
          <w:rFonts w:ascii="Bookman Old Style" w:hAnsi="Bookman Old Style" w:cs="Arial"/>
        </w:rPr>
        <w:t>www.un.org/securitycouncil/sanctions/1718/press-releases.</w:t>
      </w:r>
    </w:p>
    <w:p w14:paraId="2D10442A" w14:textId="44AC1BF2"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is directed to ensure that accounts are not opened in the name of anyone whose name appears on said list. </w:t>
      </w:r>
      <w:r w:rsidRPr="00810505">
        <w:rPr>
          <w:rFonts w:ascii="Bookman Old Style" w:hAnsi="Bookman Old Style" w:cs="Arial"/>
        </w:rPr>
        <w:t>Portfolio Manager</w:t>
      </w:r>
      <w:r w:rsidR="006E7371" w:rsidRPr="00810505">
        <w:rPr>
          <w:rFonts w:ascii="Bookman Old Style" w:hAnsi="Bookman Old Style" w:cs="Arial"/>
        </w:rPr>
        <w:t xml:space="preserve"> shall continuously scan all existing accounts to ensure that no account is held by or linked to any of the entities or individuals included in the list.</w:t>
      </w:r>
    </w:p>
    <w:p w14:paraId="6413BA86" w14:textId="6687B7F9"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maintain updated designated lists in electronic form and run a check on the given parameters on a regular basis to verify whether the designated individuals/entities are holding any funds, financial assets, or economic resources or related services held in the form of securities with them.</w:t>
      </w:r>
    </w:p>
    <w:p w14:paraId="63E79A84" w14:textId="2D000636"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leverage the latest technological innovations and tools for effective implementation of name screening to meet the sanctions requirements.</w:t>
      </w:r>
    </w:p>
    <w:p w14:paraId="471FB31D" w14:textId="5D38481C"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also file a Suspicious Transaction Report (STR) with FIU-IND covering all transactions carried through or attempted in the accounts covered under the list of designated individuals/entities under Section 35(1) and 51A of UAPA.</w:t>
      </w:r>
    </w:p>
    <w:p w14:paraId="26272E5D" w14:textId="77777777" w:rsidR="006E7371" w:rsidRPr="00810505" w:rsidRDefault="006E7371" w:rsidP="00FC23D3">
      <w:pPr>
        <w:jc w:val="both"/>
        <w:rPr>
          <w:rFonts w:ascii="Bookman Old Style" w:hAnsi="Bookman Old Style" w:cs="Arial"/>
        </w:rPr>
      </w:pPr>
      <w:r w:rsidRPr="00810505">
        <w:rPr>
          <w:rFonts w:ascii="Bookman Old Style" w:hAnsi="Bookman Old Style" w:cs="Arial"/>
        </w:rPr>
        <w:lastRenderedPageBreak/>
        <w:t>Full details of accounts bearing resemblance with any of the individuals/entities in the list shall immediately be intimated to the Central [designated] Nodal Officer for the UAPA, at Fax No.011-23092551 and also conveyed over telephone No. 011-23092548. The particulars apart from being sent by post shall necessarily be conveyed on email id: jsctcr-mha@gov.in.</w:t>
      </w:r>
    </w:p>
    <w:p w14:paraId="482A5C8F" w14:textId="7224FD4E"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also send a copy of the communication mentioned above to the UAPA Nodal Officer of the State/UT where the account is held and to SEBI and FIU-IND, without delay. The communication shall be sent to SEBI through post and through email (</w:t>
      </w:r>
      <w:hyperlink r:id="rId17" w:history="1">
        <w:r w:rsidR="006E7371" w:rsidRPr="00810505">
          <w:rPr>
            <w:rStyle w:val="Hyperlink"/>
            <w:rFonts w:ascii="Bookman Old Style" w:hAnsi="Bookman Old Style" w:cs="Arial"/>
          </w:rPr>
          <w:t>sebi_uapa@sebi.gov.in</w:t>
        </w:r>
      </w:hyperlink>
      <w:r w:rsidR="006E7371" w:rsidRPr="00810505">
        <w:rPr>
          <w:rFonts w:ascii="Bookman Old Style" w:hAnsi="Bookman Old Style" w:cs="Arial"/>
        </w:rPr>
        <w:t>) to the UAPA Nodal Officer of SEBI, Deputy General Manager, Division of FATF, Market Intermediaries Regulation and Supervision Department, Securities and Exchange Board of India, SEBI Bhavan II, Plot No. C7, “G” Block, Bandra Kurla Complex, Bandra (E), Mumbai 400 051. The consolidated list of UAPA Nodal Officers is available at the website of Government of India, Ministry of Home Affairs.</w:t>
      </w:r>
    </w:p>
    <w:p w14:paraId="1C2DAB53" w14:textId="77777777" w:rsidR="006E7371" w:rsidRPr="00810505" w:rsidRDefault="006E7371" w:rsidP="00FC23D3">
      <w:pPr>
        <w:pStyle w:val="Heading1"/>
        <w:jc w:val="both"/>
        <w:rPr>
          <w:rFonts w:ascii="Bookman Old Style" w:hAnsi="Bookman Old Style" w:cs="Arial"/>
          <w:sz w:val="20"/>
          <w:szCs w:val="20"/>
        </w:rPr>
      </w:pPr>
      <w:bookmarkStart w:id="30" w:name="_Toc185874098"/>
      <w:bookmarkStart w:id="31" w:name="_Toc229159945"/>
      <w:r w:rsidRPr="00810505">
        <w:rPr>
          <w:rFonts w:ascii="Bookman Old Style" w:hAnsi="Bookman Old Style" w:cs="Arial"/>
          <w:sz w:val="20"/>
          <w:szCs w:val="20"/>
        </w:rPr>
        <w:t>Jurisdictions that do not or insufficiently apply the FATF Recommendations</w:t>
      </w:r>
      <w:bookmarkEnd w:id="30"/>
      <w:bookmarkEnd w:id="31"/>
    </w:p>
    <w:p w14:paraId="1F124CAC" w14:textId="4D71DBDD" w:rsidR="006E7371" w:rsidRPr="00810505" w:rsidRDefault="006E7371" w:rsidP="00FC23D3">
      <w:pPr>
        <w:jc w:val="both"/>
        <w:rPr>
          <w:rFonts w:ascii="Bookman Old Style" w:hAnsi="Bookman Old Style" w:cs="Arial"/>
        </w:rPr>
      </w:pPr>
      <w:r w:rsidRPr="00810505">
        <w:rPr>
          <w:rFonts w:ascii="Bookman Old Style" w:hAnsi="Bookman Old Style" w:cs="Arial"/>
        </w:rPr>
        <w:t xml:space="preserve">FATF Secretariat after conclusion of each of its plenary, releases public statements and places jurisdictions under increased monitoring to address strategic deficiencies in their regimes to counter money laundering, terrorist financing, and proliferation financing risks. In this regard, FATF Statements circulated by SEBI from time to time, and publicly available information, for identifying countries, which do not or insufficiently apply the FATF Recommendations, shall be considered by </w:t>
      </w:r>
      <w:r w:rsidR="002E7AC9" w:rsidRPr="00810505">
        <w:rPr>
          <w:rFonts w:ascii="Bookman Old Style" w:hAnsi="Bookman Old Style" w:cs="Arial"/>
        </w:rPr>
        <w:t>Portfolio Manager</w:t>
      </w:r>
      <w:r w:rsidRPr="00810505">
        <w:rPr>
          <w:rFonts w:ascii="Bookman Old Style" w:hAnsi="Bookman Old Style" w:cs="Arial"/>
        </w:rPr>
        <w:t>.</w:t>
      </w:r>
    </w:p>
    <w:p w14:paraId="1C141AD5" w14:textId="01E42C30"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take into account the risks arising from the deficiencies in AML/CFT regime of the jurisdictions included in the FATF Statements. However, it shall be noted that </w:t>
      </w:r>
      <w:r w:rsidRPr="00810505">
        <w:rPr>
          <w:rFonts w:ascii="Bookman Old Style" w:hAnsi="Bookman Old Style" w:cs="Arial"/>
        </w:rPr>
        <w:t>Portfolio Manager</w:t>
      </w:r>
      <w:r w:rsidR="006E7371" w:rsidRPr="00810505">
        <w:rPr>
          <w:rFonts w:ascii="Bookman Old Style" w:hAnsi="Bookman Old Style" w:cs="Arial"/>
        </w:rPr>
        <w:t xml:space="preserve"> is not precluded from having legitimate trade and business transactions with the countries and jurisdictions mentioned in the FATF statements.</w:t>
      </w:r>
    </w:p>
    <w:p w14:paraId="4A5627A2" w14:textId="77777777" w:rsidR="006E7371" w:rsidRPr="00810505" w:rsidRDefault="006E7371" w:rsidP="00FC23D3">
      <w:pPr>
        <w:pStyle w:val="Heading1"/>
        <w:jc w:val="both"/>
        <w:rPr>
          <w:rFonts w:ascii="Bookman Old Style" w:hAnsi="Bookman Old Style" w:cs="Arial"/>
          <w:sz w:val="20"/>
          <w:szCs w:val="20"/>
        </w:rPr>
      </w:pPr>
      <w:bookmarkStart w:id="32" w:name="_Toc185874099"/>
      <w:bookmarkStart w:id="33" w:name="_Toc229159946"/>
      <w:r w:rsidRPr="00810505">
        <w:rPr>
          <w:rFonts w:ascii="Bookman Old Style" w:hAnsi="Bookman Old Style" w:cs="Arial"/>
          <w:sz w:val="20"/>
          <w:szCs w:val="20"/>
        </w:rPr>
        <w:t>Reporting to Financial Intelligence Unit-India</w:t>
      </w:r>
      <w:bookmarkEnd w:id="32"/>
      <w:bookmarkEnd w:id="33"/>
    </w:p>
    <w:p w14:paraId="663B4BEA" w14:textId="29F2A209" w:rsidR="006E7371" w:rsidRPr="00810505" w:rsidRDefault="006E7371" w:rsidP="00FC23D3">
      <w:pPr>
        <w:jc w:val="both"/>
        <w:rPr>
          <w:rFonts w:ascii="Bookman Old Style" w:hAnsi="Bookman Old Style" w:cs="Arial"/>
        </w:rPr>
      </w:pPr>
      <w:r w:rsidRPr="00810505">
        <w:rPr>
          <w:rFonts w:ascii="Bookman Old Style" w:hAnsi="Bookman Old Style" w:cs="Arial"/>
        </w:rPr>
        <w:t xml:space="preserve">In terms of the PML Rules, </w:t>
      </w:r>
      <w:r w:rsidR="002E7AC9" w:rsidRPr="00810505">
        <w:rPr>
          <w:rFonts w:ascii="Bookman Old Style" w:hAnsi="Bookman Old Style" w:cs="Arial"/>
        </w:rPr>
        <w:t>Portfolio Manager</w:t>
      </w:r>
      <w:r w:rsidRPr="00810505">
        <w:rPr>
          <w:rFonts w:ascii="Bookman Old Style" w:hAnsi="Bookman Old Style" w:cs="Arial"/>
        </w:rPr>
        <w:t xml:space="preserve"> is required to report information relating to cash and suspicious transactions to the Director, Financial Intelligence Unit-India (FIU-IND) at the following address:</w:t>
      </w:r>
    </w:p>
    <w:p w14:paraId="0BDC3697"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Director, FIU-IND,</w:t>
      </w:r>
    </w:p>
    <w:p w14:paraId="1A26E585"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Financial Intelligence Unit - India</w:t>
      </w:r>
    </w:p>
    <w:p w14:paraId="613FEEAA"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6th Floor, Tower-2, Jeevan Bharati Building,</w:t>
      </w:r>
    </w:p>
    <w:p w14:paraId="6CB3D74E"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Connaught Place, New Delhi-110001, INDIA</w:t>
      </w:r>
    </w:p>
    <w:p w14:paraId="4A57CC96" w14:textId="77777777" w:rsidR="006E7371" w:rsidRPr="00810505" w:rsidRDefault="006E7371" w:rsidP="005F03B2">
      <w:pPr>
        <w:spacing w:after="0" w:line="240" w:lineRule="auto"/>
        <w:ind w:left="284" w:right="365"/>
        <w:rPr>
          <w:rFonts w:ascii="Bookman Old Style" w:hAnsi="Bookman Old Style" w:cs="Arial"/>
        </w:rPr>
      </w:pPr>
      <w:proofErr w:type="gramStart"/>
      <w:r w:rsidRPr="00810505">
        <w:rPr>
          <w:rFonts w:ascii="Bookman Old Style" w:hAnsi="Bookman Old Style" w:cs="Arial"/>
        </w:rPr>
        <w:t>Telephone :</w:t>
      </w:r>
      <w:proofErr w:type="gramEnd"/>
      <w:r w:rsidRPr="00810505">
        <w:rPr>
          <w:rFonts w:ascii="Bookman Old Style" w:hAnsi="Bookman Old Style" w:cs="Arial"/>
        </w:rPr>
        <w:t xml:space="preserve"> 91-11-23314429, 23314459</w:t>
      </w:r>
    </w:p>
    <w:p w14:paraId="25507D12"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 xml:space="preserve">91-11-23319793(Helpdesk) </w:t>
      </w:r>
      <w:proofErr w:type="spellStart"/>
      <w:proofErr w:type="gramStart"/>
      <w:r w:rsidRPr="00810505">
        <w:rPr>
          <w:rFonts w:ascii="Bookman Old Style" w:hAnsi="Bookman Old Style" w:cs="Arial"/>
        </w:rPr>
        <w:t>Email:</w:t>
      </w:r>
      <w:r w:rsidRPr="00810505">
        <w:rPr>
          <w:rFonts w:ascii="Bookman Old Style" w:hAnsi="Bookman Old Style" w:cs="Arial"/>
          <w:color w:val="0563C1"/>
          <w:u w:val="single" w:color="0563C1"/>
        </w:rPr>
        <w:t>helpdesk@fiuindia.gov.in</w:t>
      </w:r>
      <w:proofErr w:type="spellEnd"/>
      <w:proofErr w:type="gramEnd"/>
    </w:p>
    <w:p w14:paraId="1BDAE891" w14:textId="77777777" w:rsidR="006E7371" w:rsidRPr="00810505" w:rsidRDefault="006E7371" w:rsidP="005F03B2">
      <w:pPr>
        <w:spacing w:after="0" w:line="240" w:lineRule="auto"/>
        <w:ind w:left="284" w:right="1982"/>
        <w:rPr>
          <w:rFonts w:ascii="Bookman Old Style" w:hAnsi="Bookman Old Style" w:cs="Arial"/>
        </w:rPr>
      </w:pPr>
      <w:r w:rsidRPr="00810505">
        <w:rPr>
          <w:rFonts w:ascii="Bookman Old Style" w:hAnsi="Bookman Old Style" w:cs="Arial"/>
        </w:rPr>
        <w:t xml:space="preserve">(For </w:t>
      </w:r>
      <w:proofErr w:type="spellStart"/>
      <w:r w:rsidRPr="00810505">
        <w:rPr>
          <w:rFonts w:ascii="Bookman Old Style" w:hAnsi="Bookman Old Style" w:cs="Arial"/>
        </w:rPr>
        <w:t>FINnet</w:t>
      </w:r>
      <w:proofErr w:type="spellEnd"/>
      <w:r w:rsidRPr="00810505">
        <w:rPr>
          <w:rFonts w:ascii="Bookman Old Style" w:hAnsi="Bookman Old Style" w:cs="Arial"/>
        </w:rPr>
        <w:t xml:space="preserve"> and general queries) </w:t>
      </w:r>
      <w:r w:rsidRPr="00810505">
        <w:rPr>
          <w:rFonts w:ascii="Bookman Old Style" w:hAnsi="Bookman Old Style" w:cs="Arial"/>
          <w:color w:val="0563C1"/>
          <w:u w:val="single" w:color="0563C1"/>
        </w:rPr>
        <w:t>ctrcell@fiuindia.gov.in</w:t>
      </w:r>
    </w:p>
    <w:p w14:paraId="3818D207" w14:textId="77777777" w:rsidR="006E7371" w:rsidRPr="00810505" w:rsidRDefault="006E7371" w:rsidP="005F03B2">
      <w:pPr>
        <w:spacing w:after="0" w:line="240" w:lineRule="auto"/>
        <w:ind w:left="284" w:right="365"/>
        <w:rPr>
          <w:rFonts w:ascii="Bookman Old Style" w:hAnsi="Bookman Old Style" w:cs="Arial"/>
        </w:rPr>
      </w:pPr>
      <w:r w:rsidRPr="00810505">
        <w:rPr>
          <w:rFonts w:ascii="Bookman Old Style" w:hAnsi="Bookman Old Style" w:cs="Arial"/>
        </w:rPr>
        <w:t xml:space="preserve">(For Reporting Entity / Principal Officer registration related queries) </w:t>
      </w:r>
      <w:r w:rsidRPr="00810505">
        <w:rPr>
          <w:rFonts w:ascii="Bookman Old Style" w:hAnsi="Bookman Old Style" w:cs="Arial"/>
          <w:color w:val="0563C1"/>
          <w:u w:val="single" w:color="0563C1"/>
        </w:rPr>
        <w:t>complaints@fiuindia.gov.in</w:t>
      </w:r>
    </w:p>
    <w:p w14:paraId="2B3E17BB" w14:textId="77777777" w:rsidR="006E7371" w:rsidRPr="00810505" w:rsidRDefault="006E7371" w:rsidP="005F03B2">
      <w:pPr>
        <w:spacing w:after="0" w:line="240" w:lineRule="auto"/>
        <w:ind w:left="284" w:hanging="10"/>
        <w:rPr>
          <w:rFonts w:ascii="Bookman Old Style" w:hAnsi="Bookman Old Style" w:cs="Arial"/>
        </w:rPr>
      </w:pPr>
      <w:r w:rsidRPr="00810505">
        <w:rPr>
          <w:rFonts w:ascii="Bookman Old Style" w:hAnsi="Bookman Old Style" w:cs="Arial"/>
        </w:rPr>
        <w:t xml:space="preserve">Website: </w:t>
      </w:r>
      <w:hyperlink r:id="rId18">
        <w:r w:rsidRPr="00810505">
          <w:rPr>
            <w:rFonts w:ascii="Bookman Old Style" w:hAnsi="Bookman Old Style" w:cs="Arial"/>
            <w:color w:val="0563C1"/>
            <w:u w:val="single" w:color="0563C1"/>
          </w:rPr>
          <w:t>http://fiuindia.gov.i</w:t>
        </w:r>
      </w:hyperlink>
      <w:hyperlink r:id="rId19">
        <w:r w:rsidRPr="00810505">
          <w:rPr>
            <w:rFonts w:ascii="Bookman Old Style" w:hAnsi="Bookman Old Style" w:cs="Arial"/>
            <w:color w:val="0563C1"/>
            <w:u w:val="single" w:color="0563C1"/>
          </w:rPr>
          <w:t>n</w:t>
        </w:r>
      </w:hyperlink>
      <w:hyperlink r:id="rId20">
        <w:r w:rsidRPr="00810505">
          <w:rPr>
            <w:rFonts w:ascii="Bookman Old Style" w:hAnsi="Bookman Old Style" w:cs="Arial"/>
            <w:color w:val="0000FF"/>
          </w:rPr>
          <w:t xml:space="preserve"> </w:t>
        </w:r>
      </w:hyperlink>
      <w:hyperlink r:id="rId21">
        <w:r w:rsidRPr="00810505">
          <w:rPr>
            <w:rFonts w:ascii="Bookman Old Style" w:hAnsi="Bookman Old Style" w:cs="Arial"/>
          </w:rPr>
          <w:t xml:space="preserve"> </w:t>
        </w:r>
      </w:hyperlink>
    </w:p>
    <w:p w14:paraId="08213BD3" w14:textId="77777777" w:rsidR="006E7371" w:rsidRPr="00810505" w:rsidRDefault="006E7371" w:rsidP="00FC23D3">
      <w:pPr>
        <w:jc w:val="both"/>
        <w:rPr>
          <w:rFonts w:ascii="Bookman Old Style" w:hAnsi="Bookman Old Style" w:cs="Arial"/>
        </w:rPr>
      </w:pPr>
    </w:p>
    <w:p w14:paraId="7E00CDCA" w14:textId="7A31797A" w:rsidR="006E7371" w:rsidRPr="00810505" w:rsidRDefault="002E7AC9" w:rsidP="00FC23D3">
      <w:pPr>
        <w:jc w:val="both"/>
        <w:rPr>
          <w:rFonts w:ascii="Bookman Old Style" w:hAnsi="Bookman Old Style" w:cs="Arial"/>
        </w:rPr>
      </w:pPr>
      <w:r w:rsidRPr="00810505">
        <w:rPr>
          <w:rFonts w:ascii="Bookman Old Style" w:hAnsi="Bookman Old Style" w:cs="Arial"/>
        </w:rPr>
        <w:lastRenderedPageBreak/>
        <w:t>Portfolio Manager</w:t>
      </w:r>
      <w:r w:rsidR="006E7371" w:rsidRPr="00810505">
        <w:rPr>
          <w:rFonts w:ascii="Bookman Old Style" w:hAnsi="Bookman Old Style" w:cs="Arial"/>
        </w:rPr>
        <w:t xml:space="preserve"> shall carefully go through all the reporting requirements (https://www.sebi.gov.in/sebi_data/commondocs/jun2024/Brochures on FIU_p.pdf) and formats that are available on the website of FIU – IND under the Section Home - FINNET 2.0 – User Manuals and Guides - Reporting Format (</w:t>
      </w:r>
      <w:hyperlink r:id="rId22" w:history="1">
        <w:r w:rsidR="006E7371" w:rsidRPr="00810505">
          <w:rPr>
            <w:rStyle w:val="Hyperlink"/>
            <w:rFonts w:ascii="Bookman Old Style" w:hAnsi="Bookman Old Style" w:cs="Arial"/>
          </w:rPr>
          <w:t>https://www.sebi.gov.in/sebi_data/commondocs/jun2024/Reporting_Format_p.pdf</w:t>
        </w:r>
      </w:hyperlink>
      <w:r w:rsidR="006E7371" w:rsidRPr="00810505">
        <w:rPr>
          <w:rFonts w:ascii="Bookman Old Style" w:hAnsi="Bookman Old Style" w:cs="Arial"/>
        </w:rPr>
        <w:t>). These documents contain detailed directives on the compilation and manner/procedure of submission of the reports to FIU-IND.</w:t>
      </w:r>
    </w:p>
    <w:p w14:paraId="7FE3AACD" w14:textId="597A827E" w:rsidR="006E7371" w:rsidRPr="00810505" w:rsidRDefault="006E7371" w:rsidP="00FC23D3">
      <w:pPr>
        <w:jc w:val="both"/>
        <w:rPr>
          <w:rFonts w:ascii="Bookman Old Style" w:hAnsi="Bookman Old Style" w:cs="Arial"/>
        </w:rPr>
      </w:pPr>
      <w:r w:rsidRPr="00810505">
        <w:rPr>
          <w:rFonts w:ascii="Bookman Old Style" w:hAnsi="Bookman Old Style" w:cs="Arial"/>
        </w:rPr>
        <w:t xml:space="preserve">The related hardware and technical requirements for preparing reports, the related data files and data structures thereof are also detailed in these documents. While detailed instructions for filing all types of reports are given in the instructions part of the related formats, </w:t>
      </w:r>
      <w:r w:rsidR="002E7AC9" w:rsidRPr="00810505">
        <w:rPr>
          <w:rFonts w:ascii="Bookman Old Style" w:hAnsi="Bookman Old Style" w:cs="Arial"/>
        </w:rPr>
        <w:t>PORTFOLIO MANAGER</w:t>
      </w:r>
      <w:r w:rsidRPr="00810505">
        <w:rPr>
          <w:rFonts w:ascii="Bookman Old Style" w:hAnsi="Bookman Old Style" w:cs="Arial"/>
        </w:rPr>
        <w:t xml:space="preserve"> shall adhere to the following:</w:t>
      </w:r>
    </w:p>
    <w:p w14:paraId="5C1C7461" w14:textId="77777777" w:rsidR="006E7371" w:rsidRPr="00810505" w:rsidRDefault="006E7371">
      <w:pPr>
        <w:numPr>
          <w:ilvl w:val="0"/>
          <w:numId w:val="29"/>
        </w:numPr>
        <w:jc w:val="both"/>
        <w:rPr>
          <w:rFonts w:ascii="Bookman Old Style" w:hAnsi="Bookman Old Style" w:cs="Arial"/>
        </w:rPr>
      </w:pPr>
      <w:r w:rsidRPr="00810505">
        <w:rPr>
          <w:rFonts w:ascii="Bookman Old Style" w:hAnsi="Bookman Old Style" w:cs="Arial"/>
        </w:rPr>
        <w:t>The Cash Transaction Report (CTR) (wherever applicable) for each month shall be submitted to FIU-IND by 15th of the succeeding month.</w:t>
      </w:r>
    </w:p>
    <w:p w14:paraId="4AA99B75" w14:textId="6E378B85" w:rsidR="006E7371" w:rsidRPr="00810505" w:rsidRDefault="006E7371">
      <w:pPr>
        <w:numPr>
          <w:ilvl w:val="0"/>
          <w:numId w:val="29"/>
        </w:numPr>
        <w:jc w:val="both"/>
        <w:rPr>
          <w:rFonts w:ascii="Bookman Old Style" w:hAnsi="Bookman Old Style" w:cs="Arial"/>
        </w:rPr>
      </w:pPr>
      <w:r w:rsidRPr="00810505">
        <w:rPr>
          <w:rFonts w:ascii="Bookman Old Style" w:hAnsi="Bookman Old Style" w:cs="Arial"/>
        </w:rPr>
        <w:t xml:space="preserve">The Suspicious Transaction Report (STR) shall be submitted within 7 days of arriving at a conclusion that any transaction, whether cash or non-cash, or a series of transactions integrally connected are of suspicious nature. </w:t>
      </w:r>
      <w:proofErr w:type="spellStart"/>
      <w:r w:rsidR="0003431A">
        <w:rPr>
          <w:rFonts w:ascii="Bookman Old Style" w:hAnsi="Bookman Old Style" w:cs="Arial"/>
        </w:rPr>
        <w:t>s</w:t>
      </w:r>
      <w:r w:rsidRPr="00810505">
        <w:rPr>
          <w:rFonts w:ascii="Bookman Old Style" w:hAnsi="Bookman Old Style" w:cs="Arial"/>
        </w:rPr>
        <w:t>The</w:t>
      </w:r>
      <w:proofErr w:type="spellEnd"/>
      <w:r w:rsidRPr="00810505">
        <w:rPr>
          <w:rFonts w:ascii="Bookman Old Style" w:hAnsi="Bookman Old Style" w:cs="Arial"/>
        </w:rPr>
        <w:t xml:space="preserve"> Principal Officer shall record his reasons for treating any transaction or a series of transactions as suspicious. It shall be ensured that there is no undue delay in arriving at such a conclusion.</w:t>
      </w:r>
    </w:p>
    <w:p w14:paraId="67BDB8C2" w14:textId="77777777" w:rsidR="006E7371" w:rsidRPr="00810505" w:rsidRDefault="006E7371">
      <w:pPr>
        <w:numPr>
          <w:ilvl w:val="0"/>
          <w:numId w:val="29"/>
        </w:numPr>
        <w:jc w:val="both"/>
        <w:rPr>
          <w:rFonts w:ascii="Bookman Old Style" w:hAnsi="Bookman Old Style" w:cs="Arial"/>
        </w:rPr>
      </w:pPr>
      <w:r w:rsidRPr="00810505">
        <w:rPr>
          <w:rFonts w:ascii="Bookman Old Style" w:hAnsi="Bookman Old Style" w:cs="Arial"/>
        </w:rPr>
        <w:t>The Non-Profit Organization Transaction Reports (NTRs) for each month shall be submitted to FIU-IND by 15th of the succeeding month.</w:t>
      </w:r>
    </w:p>
    <w:p w14:paraId="7465E1D6" w14:textId="77777777" w:rsidR="006E7371" w:rsidRPr="00810505" w:rsidRDefault="006E7371">
      <w:pPr>
        <w:numPr>
          <w:ilvl w:val="0"/>
          <w:numId w:val="29"/>
        </w:numPr>
        <w:jc w:val="both"/>
        <w:rPr>
          <w:rFonts w:ascii="Bookman Old Style" w:hAnsi="Bookman Old Style" w:cs="Arial"/>
        </w:rPr>
      </w:pPr>
      <w:r w:rsidRPr="00810505">
        <w:rPr>
          <w:rFonts w:ascii="Bookman Old Style" w:hAnsi="Bookman Old Style" w:cs="Arial"/>
        </w:rPr>
        <w:t>The Principal Officer will be responsible for timely submission of CTR, STR, and NTR to FIU-IND.</w:t>
      </w:r>
    </w:p>
    <w:p w14:paraId="0395B626" w14:textId="5F0CDD62" w:rsidR="006E7371" w:rsidRPr="00810505" w:rsidRDefault="002E7AC9">
      <w:pPr>
        <w:numPr>
          <w:ilvl w:val="0"/>
          <w:numId w:val="29"/>
        </w:numPr>
        <w:jc w:val="both"/>
        <w:rPr>
          <w:rFonts w:ascii="Bookman Old Style" w:hAnsi="Bookman Old Style" w:cs="Arial"/>
        </w:rPr>
      </w:pPr>
      <w:r w:rsidRPr="00810505">
        <w:rPr>
          <w:rFonts w:ascii="Bookman Old Style" w:hAnsi="Bookman Old Style" w:cs="Arial"/>
        </w:rPr>
        <w:t>Portfolio Manager</w:t>
      </w:r>
      <w:r w:rsidR="0027018E" w:rsidRPr="00810505">
        <w:rPr>
          <w:rFonts w:ascii="Bookman Old Style" w:hAnsi="Bookman Old Style" w:cs="Arial"/>
        </w:rPr>
        <w:t xml:space="preserve"> shall maintain u</w:t>
      </w:r>
      <w:r w:rsidR="006E7371" w:rsidRPr="00810505">
        <w:rPr>
          <w:rFonts w:ascii="Bookman Old Style" w:hAnsi="Bookman Old Style" w:cs="Arial"/>
        </w:rPr>
        <w:t xml:space="preserve">tmost confidentiality </w:t>
      </w:r>
      <w:r w:rsidR="0027018E" w:rsidRPr="00810505">
        <w:rPr>
          <w:rFonts w:ascii="Bookman Old Style" w:hAnsi="Bookman Old Style" w:cs="Arial"/>
        </w:rPr>
        <w:t>while</w:t>
      </w:r>
      <w:r w:rsidR="006E7371" w:rsidRPr="00810505">
        <w:rPr>
          <w:rFonts w:ascii="Bookman Old Style" w:hAnsi="Bookman Old Style" w:cs="Arial"/>
        </w:rPr>
        <w:t xml:space="preserve"> </w:t>
      </w:r>
      <w:r w:rsidR="0027018E" w:rsidRPr="00810505">
        <w:rPr>
          <w:rFonts w:ascii="Bookman Old Style" w:hAnsi="Bookman Old Style" w:cs="Arial"/>
        </w:rPr>
        <w:t>filing</w:t>
      </w:r>
      <w:r w:rsidR="006E7371" w:rsidRPr="00810505">
        <w:rPr>
          <w:rFonts w:ascii="Bookman Old Style" w:hAnsi="Bookman Old Style" w:cs="Arial"/>
        </w:rPr>
        <w:t xml:space="preserve"> CTR, STR, and NTR to FIU-IND.</w:t>
      </w:r>
    </w:p>
    <w:p w14:paraId="21797665" w14:textId="77777777" w:rsidR="006E7371" w:rsidRPr="00810505" w:rsidRDefault="006E7371">
      <w:pPr>
        <w:numPr>
          <w:ilvl w:val="0"/>
          <w:numId w:val="29"/>
        </w:numPr>
        <w:jc w:val="both"/>
        <w:rPr>
          <w:rFonts w:ascii="Bookman Old Style" w:hAnsi="Bookman Old Style" w:cs="Arial"/>
        </w:rPr>
      </w:pPr>
      <w:r w:rsidRPr="00810505">
        <w:rPr>
          <w:rFonts w:ascii="Bookman Old Style" w:hAnsi="Bookman Old Style" w:cs="Arial"/>
        </w:rPr>
        <w:t>No NIL reporting needs to be made to FIU-IND in case there are no cash/suspicious/non-profit organization transactions to be reported.</w:t>
      </w:r>
    </w:p>
    <w:p w14:paraId="1791A337" w14:textId="10604C13" w:rsidR="006E7371" w:rsidRPr="00810505" w:rsidRDefault="002E7AC9">
      <w:pPr>
        <w:numPr>
          <w:ilvl w:val="0"/>
          <w:numId w:val="29"/>
        </w:num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ensure that the fact of maintenance referred to in Rule 3 of PML Rules and furnishing of information to the Director is kept confidential. Provided that nothing in this rule shall inhibit sharing of information under Rule 3A of PML Rules of any analysis of transactions and activities which appear unusual, if any such analysis has been done.</w:t>
      </w:r>
    </w:p>
    <w:p w14:paraId="492F2921" w14:textId="5E14B471"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not put any restrictions on operations in the accounts where an STR has been made. </w:t>
      </w:r>
      <w:r w:rsidRPr="00810505">
        <w:rPr>
          <w:rFonts w:ascii="Bookman Old Style" w:hAnsi="Bookman Old Style" w:cs="Arial"/>
        </w:rPr>
        <w:t>Portfolio Manager</w:t>
      </w:r>
      <w:r w:rsidR="006E7371" w:rsidRPr="00810505">
        <w:rPr>
          <w:rFonts w:ascii="Bookman Old Style" w:hAnsi="Bookman Old Style" w:cs="Arial"/>
        </w:rPr>
        <w:t xml:space="preserve"> and their directors, officers, and employees (permanent and temporary) shall be prohibited from disclosing (“tipping off”) the fact that an STR or related information is being reported or provided to the FIU-IND. This prohibition on tipping off extends not only to the filing of the STR and/or related information but even before, during, and after the submission of an STR. Thus, it shall be ensured that there is no tipping off to the client at any level.</w:t>
      </w:r>
    </w:p>
    <w:p w14:paraId="3149C103" w14:textId="582E6673" w:rsidR="006E7371" w:rsidRPr="00810505" w:rsidRDefault="006E7371" w:rsidP="00FC23D3">
      <w:pPr>
        <w:jc w:val="both"/>
        <w:rPr>
          <w:rFonts w:ascii="Bookman Old Style" w:hAnsi="Bookman Old Style" w:cs="Arial"/>
        </w:rPr>
      </w:pPr>
      <w:r w:rsidRPr="00810505">
        <w:rPr>
          <w:rFonts w:ascii="Bookman Old Style" w:hAnsi="Bookman Old Style" w:cs="Arial"/>
        </w:rPr>
        <w:lastRenderedPageBreak/>
        <w:t xml:space="preserve">It is clarified that </w:t>
      </w:r>
      <w:r w:rsidR="002E7AC9" w:rsidRPr="00810505">
        <w:rPr>
          <w:rFonts w:ascii="Bookman Old Style" w:hAnsi="Bookman Old Style" w:cs="Arial"/>
        </w:rPr>
        <w:t>Portfolio Manager</w:t>
      </w:r>
      <w:r w:rsidRPr="00810505">
        <w:rPr>
          <w:rFonts w:ascii="Bookman Old Style" w:hAnsi="Bookman Old Style" w:cs="Arial"/>
        </w:rPr>
        <w:t>, irrespective of the amount of transaction and/or the threshold limit envisaged for predicate offences specified in part B of the Schedule of PMLA, 2002, shall file STR if they have reasonable grounds to believe that the transactions involve proceeds of crime.</w:t>
      </w:r>
    </w:p>
    <w:p w14:paraId="0DD23FB7" w14:textId="77777777" w:rsidR="006E7371" w:rsidRPr="00810505" w:rsidRDefault="006E7371" w:rsidP="00FC23D3">
      <w:pPr>
        <w:jc w:val="both"/>
        <w:rPr>
          <w:rFonts w:ascii="Bookman Old Style" w:hAnsi="Bookman Old Style" w:cs="Arial"/>
        </w:rPr>
      </w:pPr>
      <w:r w:rsidRPr="00810505">
        <w:rPr>
          <w:rFonts w:ascii="Bookman Old Style" w:hAnsi="Bookman Old Style" w:cs="Arial"/>
        </w:rPr>
        <w:t>Confidentiality requirements do not inhibit information sharing among entities in the group.</w:t>
      </w:r>
    </w:p>
    <w:p w14:paraId="55E2FB9D" w14:textId="77777777" w:rsidR="006E7371" w:rsidRPr="00810505" w:rsidRDefault="006E7371" w:rsidP="00FC23D3">
      <w:pPr>
        <w:pStyle w:val="Heading1"/>
        <w:jc w:val="both"/>
        <w:rPr>
          <w:rFonts w:ascii="Bookman Old Style" w:hAnsi="Bookman Old Style" w:cs="Arial"/>
          <w:sz w:val="20"/>
          <w:szCs w:val="20"/>
        </w:rPr>
      </w:pPr>
      <w:bookmarkStart w:id="34" w:name="_Toc185874100"/>
      <w:bookmarkStart w:id="35" w:name="_Toc229159947"/>
      <w:r w:rsidRPr="00810505">
        <w:rPr>
          <w:rFonts w:ascii="Bookman Old Style" w:hAnsi="Bookman Old Style" w:cs="Arial"/>
          <w:sz w:val="20"/>
          <w:szCs w:val="20"/>
        </w:rPr>
        <w:t>Designation of officers for ensuring compliance with provisions of PMLA Appointment of a Principal Officer</w:t>
      </w:r>
      <w:bookmarkEnd w:id="34"/>
      <w:bookmarkEnd w:id="35"/>
    </w:p>
    <w:p w14:paraId="7FDB8F59" w14:textId="3F4B18E0" w:rsidR="006E7371" w:rsidRPr="00810505" w:rsidRDefault="006E7371" w:rsidP="00FC23D3">
      <w:pPr>
        <w:jc w:val="both"/>
        <w:rPr>
          <w:rFonts w:ascii="Bookman Old Style" w:hAnsi="Bookman Old Style" w:cs="Arial"/>
        </w:rPr>
      </w:pPr>
      <w:r w:rsidRPr="00810505">
        <w:rPr>
          <w:rFonts w:ascii="Bookman Old Style" w:hAnsi="Bookman Old Style" w:cs="Arial"/>
        </w:rPr>
        <w:t xml:space="preserve">To ensure that </w:t>
      </w:r>
      <w:r w:rsidR="002E7AC9" w:rsidRPr="00810505">
        <w:rPr>
          <w:rFonts w:ascii="Bookman Old Style" w:hAnsi="Bookman Old Style" w:cs="Arial"/>
        </w:rPr>
        <w:t>Portfolio Manager</w:t>
      </w:r>
      <w:r w:rsidRPr="00810505">
        <w:rPr>
          <w:rFonts w:ascii="Bookman Old Style" w:hAnsi="Bookman Old Style" w:cs="Arial"/>
        </w:rPr>
        <w:t xml:space="preserve"> properly discharges its legal obligations to report suspicious transactions to the authorities, </w:t>
      </w:r>
      <w:r w:rsidR="002E7AC9" w:rsidRPr="00810505">
        <w:rPr>
          <w:rFonts w:ascii="Bookman Old Style" w:hAnsi="Bookman Old Style" w:cs="Arial"/>
        </w:rPr>
        <w:t>Portfolio Manager</w:t>
      </w:r>
      <w:r w:rsidR="00A342EB" w:rsidRPr="00810505">
        <w:rPr>
          <w:rFonts w:ascii="Bookman Old Style" w:hAnsi="Bookman Old Style" w:cs="Arial"/>
        </w:rPr>
        <w:t xml:space="preserve"> shall appoint </w:t>
      </w:r>
      <w:r w:rsidR="00DC3785" w:rsidRPr="00810505">
        <w:rPr>
          <w:rFonts w:ascii="Bookman Old Style" w:hAnsi="Bookman Old Style" w:cs="Arial"/>
        </w:rPr>
        <w:t>a senior</w:t>
      </w:r>
      <w:r w:rsidR="003A3517" w:rsidRPr="00810505">
        <w:rPr>
          <w:rFonts w:ascii="Bookman Old Style" w:hAnsi="Bookman Old Style" w:cs="Arial"/>
        </w:rPr>
        <w:t xml:space="preserve"> person at </w:t>
      </w:r>
      <w:r w:rsidR="00DC3785" w:rsidRPr="00810505">
        <w:rPr>
          <w:rFonts w:ascii="Bookman Old Style" w:hAnsi="Bookman Old Style" w:cs="Arial"/>
        </w:rPr>
        <w:t xml:space="preserve">the </w:t>
      </w:r>
      <w:r w:rsidR="003A3517" w:rsidRPr="00810505">
        <w:rPr>
          <w:rFonts w:ascii="Bookman Old Style" w:hAnsi="Bookman Old Style" w:cs="Arial"/>
        </w:rPr>
        <w:t xml:space="preserve">management level </w:t>
      </w:r>
      <w:r w:rsidR="00DC3785" w:rsidRPr="00810505">
        <w:rPr>
          <w:rFonts w:ascii="Bookman Old Style" w:hAnsi="Bookman Old Style" w:cs="Arial"/>
        </w:rPr>
        <w:t xml:space="preserve">as </w:t>
      </w:r>
      <w:r w:rsidRPr="00810505">
        <w:rPr>
          <w:rFonts w:ascii="Bookman Old Style" w:hAnsi="Bookman Old Style" w:cs="Arial"/>
        </w:rPr>
        <w:t xml:space="preserve">the Principal Officer </w:t>
      </w:r>
      <w:r w:rsidR="00DC3785" w:rsidRPr="00810505">
        <w:rPr>
          <w:rFonts w:ascii="Bookman Old Style" w:hAnsi="Bookman Old Style" w:cs="Arial"/>
        </w:rPr>
        <w:t xml:space="preserve">who </w:t>
      </w:r>
      <w:r w:rsidRPr="00810505">
        <w:rPr>
          <w:rFonts w:ascii="Bookman Old Style" w:hAnsi="Bookman Old Style" w:cs="Arial"/>
        </w:rPr>
        <w:t>would act as a central reference point in facilitating onward reporting of suspicious transactions and for playing an active role in the identification and assessment of potentially suspicious transactions. The Principal Officer shall have access to and be able to report to senior management at the next reporting level or the Board of Directors. Names, designation, and addresses (including email addresses) of the 'Principal Officer', including any changes therein, shall also be intimated to the Office of the Director-FIU-IND.</w:t>
      </w:r>
    </w:p>
    <w:p w14:paraId="5C6AB96D" w14:textId="77777777" w:rsidR="006E7371" w:rsidRPr="00810505" w:rsidRDefault="006E7371" w:rsidP="00FC23D3">
      <w:pPr>
        <w:pStyle w:val="Heading1"/>
        <w:jc w:val="both"/>
        <w:rPr>
          <w:rFonts w:ascii="Bookman Old Style" w:hAnsi="Bookman Old Style" w:cs="Arial"/>
          <w:sz w:val="20"/>
          <w:szCs w:val="20"/>
        </w:rPr>
      </w:pPr>
      <w:bookmarkStart w:id="36" w:name="_Toc185874101"/>
      <w:bookmarkStart w:id="37" w:name="_Toc229159948"/>
      <w:r w:rsidRPr="00810505">
        <w:rPr>
          <w:rFonts w:ascii="Bookman Old Style" w:hAnsi="Bookman Old Style" w:cs="Arial"/>
          <w:sz w:val="20"/>
          <w:szCs w:val="20"/>
        </w:rPr>
        <w:t>Appointment of a Designated Director</w:t>
      </w:r>
      <w:bookmarkEnd w:id="36"/>
      <w:bookmarkEnd w:id="37"/>
    </w:p>
    <w:p w14:paraId="4B57FE48" w14:textId="7E5CBBFC" w:rsidR="003D4DAE" w:rsidRPr="00810505" w:rsidRDefault="006E7371" w:rsidP="00FC23D3">
      <w:pPr>
        <w:jc w:val="both"/>
        <w:rPr>
          <w:rFonts w:ascii="Bookman Old Style" w:hAnsi="Bookman Old Style" w:cs="Arial"/>
        </w:rPr>
      </w:pPr>
      <w:r w:rsidRPr="00810505">
        <w:rPr>
          <w:rFonts w:ascii="Bookman Old Style" w:hAnsi="Bookman Old Style" w:cs="Arial"/>
        </w:rPr>
        <w:t xml:space="preserve">In addition to the existing requirement of designation of a Principal Officer, </w:t>
      </w:r>
      <w:r w:rsidR="002E7AC9" w:rsidRPr="00810505">
        <w:rPr>
          <w:rFonts w:ascii="Bookman Old Style" w:hAnsi="Bookman Old Style" w:cs="Arial"/>
        </w:rPr>
        <w:t>Portfolio Manager</w:t>
      </w:r>
      <w:r w:rsidRPr="00810505">
        <w:rPr>
          <w:rFonts w:ascii="Bookman Old Style" w:hAnsi="Bookman Old Style" w:cs="Arial"/>
        </w:rPr>
        <w:t xml:space="preserve"> shall also designate </w:t>
      </w:r>
      <w:r w:rsidR="00314F69" w:rsidRPr="00810505">
        <w:rPr>
          <w:rFonts w:ascii="Bookman Old Style" w:hAnsi="Bookman Old Style" w:cs="Arial"/>
        </w:rPr>
        <w:t xml:space="preserve">Managing Director or a Whole-Time Director or other </w:t>
      </w:r>
      <w:r w:rsidR="003D4DAE" w:rsidRPr="00810505">
        <w:rPr>
          <w:rFonts w:ascii="Bookman Old Style" w:hAnsi="Bookman Old Style" w:cs="Arial"/>
        </w:rPr>
        <w:t xml:space="preserve">appropriate senior person </w:t>
      </w:r>
      <w:r w:rsidR="00314F69" w:rsidRPr="00810505">
        <w:rPr>
          <w:rFonts w:ascii="Bookman Old Style" w:hAnsi="Bookman Old Style" w:cs="Arial"/>
        </w:rPr>
        <w:t xml:space="preserve">duly authorized by the Board of Directors </w:t>
      </w:r>
      <w:r w:rsidR="003D4DAE" w:rsidRPr="00810505">
        <w:rPr>
          <w:rFonts w:ascii="Bookman Old Style" w:hAnsi="Bookman Old Style" w:cs="Arial"/>
        </w:rPr>
        <w:t xml:space="preserve">of </w:t>
      </w:r>
      <w:r w:rsidR="002E7AC9" w:rsidRPr="00810505">
        <w:rPr>
          <w:rFonts w:ascii="Bookman Old Style" w:hAnsi="Bookman Old Style" w:cs="Arial"/>
        </w:rPr>
        <w:t>Portfolio Manager</w:t>
      </w:r>
      <w:r w:rsidR="003D4DAE" w:rsidRPr="00810505">
        <w:rPr>
          <w:rFonts w:ascii="Bookman Old Style" w:hAnsi="Bookman Old Style" w:cs="Arial"/>
        </w:rPr>
        <w:t xml:space="preserve"> as the </w:t>
      </w:r>
      <w:r w:rsidRPr="00810505">
        <w:rPr>
          <w:rFonts w:ascii="Bookman Old Style" w:hAnsi="Bookman Old Style" w:cs="Arial"/>
        </w:rPr>
        <w:t xml:space="preserve">'Designated Director'. </w:t>
      </w:r>
    </w:p>
    <w:p w14:paraId="775D1622" w14:textId="36A9AA16" w:rsidR="006E7371" w:rsidRPr="00810505" w:rsidRDefault="002E7AC9" w:rsidP="00FC23D3">
      <w:pPr>
        <w:jc w:val="both"/>
        <w:rPr>
          <w:rFonts w:ascii="Bookman Old Style" w:hAnsi="Bookman Old Style" w:cs="Arial"/>
        </w:rPr>
      </w:pPr>
      <w:r w:rsidRPr="00810505">
        <w:rPr>
          <w:rFonts w:ascii="Bookman Old Style" w:hAnsi="Bookman Old Style" w:cs="Arial"/>
        </w:rPr>
        <w:t>Portfolio Manager</w:t>
      </w:r>
      <w:r w:rsidR="006E7371" w:rsidRPr="00810505">
        <w:rPr>
          <w:rFonts w:ascii="Bookman Old Style" w:hAnsi="Bookman Old Style" w:cs="Arial"/>
        </w:rPr>
        <w:t xml:space="preserve"> shall communicate the details of the Designated Director, such as name, designation, and address, to the Office of the Director, FIU – IND.</w:t>
      </w:r>
    </w:p>
    <w:p w14:paraId="7B233CB5" w14:textId="77777777" w:rsidR="006E7371" w:rsidRPr="00810505" w:rsidRDefault="006E7371" w:rsidP="00FC23D3">
      <w:pPr>
        <w:pStyle w:val="Heading1"/>
        <w:jc w:val="both"/>
        <w:rPr>
          <w:rFonts w:ascii="Bookman Old Style" w:hAnsi="Bookman Old Style" w:cs="Arial"/>
          <w:sz w:val="20"/>
          <w:szCs w:val="20"/>
        </w:rPr>
      </w:pPr>
      <w:bookmarkStart w:id="38" w:name="_Toc34011"/>
      <w:bookmarkStart w:id="39" w:name="_Toc185874102"/>
      <w:bookmarkStart w:id="40" w:name="_Toc229159949"/>
      <w:r w:rsidRPr="00810505">
        <w:rPr>
          <w:rFonts w:ascii="Bookman Old Style" w:hAnsi="Bookman Old Style" w:cs="Arial"/>
          <w:sz w:val="20"/>
          <w:szCs w:val="20"/>
        </w:rPr>
        <w:t>Hiring and Training of Employees and Investor Education</w:t>
      </w:r>
      <w:bookmarkEnd w:id="38"/>
      <w:bookmarkEnd w:id="39"/>
      <w:bookmarkEnd w:id="40"/>
    </w:p>
    <w:p w14:paraId="11DCE298" w14:textId="5A51BBC3" w:rsidR="006E7371" w:rsidRPr="00810505" w:rsidRDefault="006E7371" w:rsidP="00FC23D3">
      <w:pPr>
        <w:jc w:val="both"/>
        <w:rPr>
          <w:rFonts w:ascii="Bookman Old Style" w:hAnsi="Bookman Old Style" w:cs="Arial"/>
        </w:rPr>
      </w:pPr>
      <w:r w:rsidRPr="00810505">
        <w:rPr>
          <w:rFonts w:ascii="Bookman Old Style" w:hAnsi="Bookman Old Style" w:cs="Arial"/>
          <w:b/>
          <w:bCs/>
        </w:rPr>
        <w:t>Hiring of Employees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have adequate screening procedures in place to ensure high standards when hiring employees. They shall identify the key positions within their own organization structures having regard to the risk of money laundering and terrorist financing and the size of their business and ensure the employees taking up such key positions are suitable and competent to perform their duties.</w:t>
      </w:r>
    </w:p>
    <w:p w14:paraId="61ED97FD" w14:textId="02D6EE07" w:rsidR="006E7371" w:rsidRPr="00810505" w:rsidRDefault="006E7371" w:rsidP="00FC23D3">
      <w:pPr>
        <w:jc w:val="both"/>
        <w:rPr>
          <w:rFonts w:ascii="Bookman Old Style" w:hAnsi="Bookman Old Style" w:cs="Arial"/>
        </w:rPr>
      </w:pPr>
      <w:r w:rsidRPr="00810505">
        <w:rPr>
          <w:rFonts w:ascii="Bookman Old Style" w:hAnsi="Bookman Old Style" w:cs="Arial"/>
          <w:b/>
          <w:bCs/>
        </w:rPr>
        <w:t>Training of Employees</w:t>
      </w:r>
      <w:r w:rsidRPr="00810505">
        <w:rPr>
          <w:rFonts w:ascii="Bookman Old Style" w:hAnsi="Bookman Old Style" w:cs="Arial"/>
        </w:rPr>
        <w:t xml:space="preserve">: </w:t>
      </w:r>
      <w:r w:rsidR="002E7AC9" w:rsidRPr="00810505">
        <w:rPr>
          <w:rFonts w:ascii="Bookman Old Style" w:hAnsi="Bookman Old Style" w:cs="Arial"/>
        </w:rPr>
        <w:t>Portfolio Manager</w:t>
      </w:r>
      <w:r w:rsidRPr="00810505">
        <w:rPr>
          <w:rFonts w:ascii="Bookman Old Style" w:hAnsi="Bookman Old Style" w:cs="Arial"/>
        </w:rPr>
        <w:t xml:space="preserve"> shall have an ongoing employee training </w:t>
      </w:r>
      <w:proofErr w:type="spellStart"/>
      <w:r w:rsidRPr="00810505">
        <w:rPr>
          <w:rFonts w:ascii="Bookman Old Style" w:hAnsi="Bookman Old Style" w:cs="Arial"/>
        </w:rPr>
        <w:t>programme</w:t>
      </w:r>
      <w:proofErr w:type="spellEnd"/>
      <w:r w:rsidRPr="00810505">
        <w:rPr>
          <w:rFonts w:ascii="Bookman Old Style" w:hAnsi="Bookman Old Style" w:cs="Arial"/>
        </w:rPr>
        <w:t xml:space="preserve"> so that the members of the staff are adequately trained in AML and CFT procedures. Training requirements shall have specific focuses for frontline staff, </w:t>
      </w:r>
      <w:proofErr w:type="gramStart"/>
      <w:r w:rsidRPr="00810505">
        <w:rPr>
          <w:rFonts w:ascii="Bookman Old Style" w:hAnsi="Bookman Old Style" w:cs="Arial"/>
        </w:rPr>
        <w:t>back office</w:t>
      </w:r>
      <w:proofErr w:type="gramEnd"/>
      <w:r w:rsidRPr="00810505">
        <w:rPr>
          <w:rFonts w:ascii="Bookman Old Style" w:hAnsi="Bookman Old Style" w:cs="Arial"/>
        </w:rPr>
        <w:t xml:space="preserve"> staff, compliance staff, risk management staff, and staff dealing with new clients. It is crucial that all those concerned fully understand the rationale behind these directives, obligations, and requirements, implement them consistently, and are sensitive to the risks of their systems being misused by unscrupulous elements.</w:t>
      </w:r>
    </w:p>
    <w:p w14:paraId="72ECBCA5" w14:textId="07EA8741" w:rsidR="006E7371" w:rsidRPr="00810505" w:rsidRDefault="006E7371" w:rsidP="00FC23D3">
      <w:pPr>
        <w:jc w:val="both"/>
        <w:rPr>
          <w:rFonts w:ascii="Bookman Old Style" w:hAnsi="Bookman Old Style" w:cs="Arial"/>
        </w:rPr>
      </w:pPr>
      <w:r w:rsidRPr="00810505">
        <w:rPr>
          <w:rFonts w:ascii="Bookman Old Style" w:hAnsi="Bookman Old Style" w:cs="Arial"/>
          <w:b/>
          <w:bCs/>
        </w:rPr>
        <w:t>Investor Education</w:t>
      </w:r>
      <w:r w:rsidRPr="00810505">
        <w:rPr>
          <w:rFonts w:ascii="Bookman Old Style" w:hAnsi="Bookman Old Style" w:cs="Arial"/>
        </w:rPr>
        <w:t xml:space="preserve">: Implementation of AML/CFT measures requires </w:t>
      </w:r>
      <w:r w:rsidR="002E7AC9" w:rsidRPr="00810505">
        <w:rPr>
          <w:rFonts w:ascii="Bookman Old Style" w:hAnsi="Bookman Old Style" w:cs="Arial"/>
        </w:rPr>
        <w:t>Portfolio Manager</w:t>
      </w:r>
      <w:r w:rsidRPr="00810505">
        <w:rPr>
          <w:rFonts w:ascii="Bookman Old Style" w:hAnsi="Bookman Old Style" w:cs="Arial"/>
        </w:rPr>
        <w:t xml:space="preserve"> to demand certain information from investors which may be of personal nature or has hitherto never been called for. Such information can include documents evidencing the source of </w:t>
      </w:r>
      <w:r w:rsidRPr="00810505">
        <w:rPr>
          <w:rFonts w:ascii="Bookman Old Style" w:hAnsi="Bookman Old Style" w:cs="Arial"/>
        </w:rPr>
        <w:lastRenderedPageBreak/>
        <w:t xml:space="preserve">funds/income tax returns/bank records etc. This can sometimes lead to raising questions by the client with regard to the motive and purpose of collecting such information. There is, therefore, a need for </w:t>
      </w:r>
      <w:r w:rsidR="002E7AC9" w:rsidRPr="00810505">
        <w:rPr>
          <w:rFonts w:ascii="Bookman Old Style" w:hAnsi="Bookman Old Style" w:cs="Arial"/>
        </w:rPr>
        <w:t>Portfolio Manager</w:t>
      </w:r>
      <w:r w:rsidRPr="00810505">
        <w:rPr>
          <w:rFonts w:ascii="Bookman Old Style" w:hAnsi="Bookman Old Style" w:cs="Arial"/>
        </w:rPr>
        <w:t xml:space="preserve"> to sensitize their clients about these requirements as the ones emanating from the AML and CFT framework. </w:t>
      </w:r>
      <w:r w:rsidR="002E7AC9" w:rsidRPr="00810505">
        <w:rPr>
          <w:rFonts w:ascii="Bookman Old Style" w:hAnsi="Bookman Old Style" w:cs="Arial"/>
        </w:rPr>
        <w:t>Portfolio Manager</w:t>
      </w:r>
      <w:r w:rsidRPr="00810505">
        <w:rPr>
          <w:rFonts w:ascii="Bookman Old Style" w:hAnsi="Bookman Old Style" w:cs="Arial"/>
        </w:rPr>
        <w:t xml:space="preserve"> shall prepare specific literature/pamphlets etc. so as to educate the client on the objectives of the AML/CFT </w:t>
      </w:r>
      <w:proofErr w:type="spellStart"/>
      <w:r w:rsidRPr="00810505">
        <w:rPr>
          <w:rFonts w:ascii="Bookman Old Style" w:hAnsi="Bookman Old Style" w:cs="Arial"/>
        </w:rPr>
        <w:t>programme</w:t>
      </w:r>
      <w:proofErr w:type="spellEnd"/>
      <w:r w:rsidRPr="00810505">
        <w:rPr>
          <w:rFonts w:ascii="Bookman Old Style" w:hAnsi="Bookman Old Style" w:cs="Arial"/>
        </w:rPr>
        <w:t>.</w:t>
      </w:r>
    </w:p>
    <w:p w14:paraId="0B570E0B" w14:textId="77777777" w:rsidR="00B44192" w:rsidRPr="00810505" w:rsidRDefault="00B44192" w:rsidP="00FC23D3">
      <w:pPr>
        <w:pStyle w:val="Heading1"/>
        <w:jc w:val="both"/>
        <w:rPr>
          <w:rFonts w:ascii="Bookman Old Style" w:hAnsi="Bookman Old Style" w:cs="Arial"/>
          <w:sz w:val="20"/>
          <w:szCs w:val="20"/>
        </w:rPr>
      </w:pPr>
      <w:bookmarkStart w:id="41" w:name="_Toc188608578"/>
      <w:bookmarkStart w:id="42" w:name="_Toc229159950"/>
      <w:r w:rsidRPr="00810505">
        <w:rPr>
          <w:rFonts w:ascii="Bookman Old Style" w:hAnsi="Bookman Old Style" w:cs="Arial"/>
          <w:sz w:val="20"/>
          <w:szCs w:val="20"/>
        </w:rPr>
        <w:t>Review of the policy and Update</w:t>
      </w:r>
      <w:bookmarkEnd w:id="41"/>
      <w:bookmarkEnd w:id="42"/>
    </w:p>
    <w:p w14:paraId="25C2662F" w14:textId="76371D56" w:rsidR="001E4D89" w:rsidRDefault="00B44192" w:rsidP="00FC23D3">
      <w:pPr>
        <w:jc w:val="both"/>
        <w:rPr>
          <w:rFonts w:ascii="Bookman Old Style" w:hAnsi="Bookman Old Style" w:cs="Arial"/>
        </w:rPr>
      </w:pPr>
      <w:r w:rsidRPr="00810505">
        <w:rPr>
          <w:rFonts w:ascii="Bookman Old Style" w:hAnsi="Bookman Old Style" w:cs="Arial"/>
        </w:rPr>
        <w:t>The policy will be reviewed and updated as required to incorporate any changes introduced by regulatory authorities. Additionally, it will undergo periodic reviews to ensure its continued relevance, effectiveness, and alignment with current regulatory requirements and industry standards by the Board.</w:t>
      </w:r>
    </w:p>
    <w:p w14:paraId="7AD7A99F" w14:textId="4029419E" w:rsidR="001A5308" w:rsidRDefault="001E4D89" w:rsidP="001A5308">
      <w:pPr>
        <w:rPr>
          <w:rFonts w:ascii="Arial" w:eastAsia="Arial" w:hAnsi="Arial" w:cs="Arial"/>
          <w:b/>
          <w:bCs/>
          <w:color w:val="C00000"/>
          <w:sz w:val="30"/>
          <w:szCs w:val="30"/>
          <w:u w:val="single" w:color="C00000"/>
        </w:rPr>
      </w:pPr>
      <w:r>
        <w:rPr>
          <w:rFonts w:ascii="Bookman Old Style" w:hAnsi="Bookman Old Style" w:cs="Arial"/>
        </w:rPr>
        <w:br w:type="page"/>
      </w:r>
      <w:bookmarkStart w:id="43" w:name="_Toc229150905"/>
    </w:p>
    <w:p w14:paraId="1A8CF7B2" w14:textId="4C34157E" w:rsidR="00BA625B" w:rsidRPr="00BA625B" w:rsidRDefault="00C72A1E" w:rsidP="000E1622">
      <w:pPr>
        <w:pStyle w:val="Heading2"/>
        <w:jc w:val="center"/>
        <w:rPr>
          <w:rFonts w:eastAsiaTheme="majorEastAsia"/>
        </w:rPr>
      </w:pPr>
      <w:bookmarkStart w:id="44" w:name="_Toc229159951"/>
      <w:r w:rsidRPr="00BA625B">
        <w:rPr>
          <w:rFonts w:eastAsiaTheme="majorEastAsia"/>
        </w:rPr>
        <w:lastRenderedPageBreak/>
        <w:t>Section II- Know Your Client</w:t>
      </w:r>
      <w:bookmarkEnd w:id="44"/>
    </w:p>
    <w:p w14:paraId="22E076E6" w14:textId="3E933AEA" w:rsidR="00B41942" w:rsidRPr="009609FA" w:rsidRDefault="00B41942" w:rsidP="009609FA">
      <w:pPr>
        <w:pStyle w:val="Heading1"/>
        <w:jc w:val="both"/>
        <w:rPr>
          <w:rFonts w:ascii="Bookman Old Style" w:hAnsi="Bookman Old Style" w:cs="Arial"/>
          <w:sz w:val="20"/>
          <w:szCs w:val="20"/>
        </w:rPr>
      </w:pPr>
      <w:bookmarkStart w:id="45" w:name="_Toc229159952"/>
      <w:r w:rsidRPr="009609FA">
        <w:rPr>
          <w:rFonts w:ascii="Bookman Old Style" w:hAnsi="Bookman Old Style" w:cs="Arial"/>
          <w:sz w:val="20"/>
          <w:szCs w:val="20"/>
        </w:rPr>
        <w:t>ACCOUNT OPENING &amp; OPERATIONAL PROCEDURES</w:t>
      </w:r>
      <w:bookmarkEnd w:id="43"/>
      <w:bookmarkEnd w:id="45"/>
    </w:p>
    <w:p w14:paraId="183E0D9B" w14:textId="77777777" w:rsidR="00B41942" w:rsidRPr="001F637B" w:rsidRDefault="00B41942" w:rsidP="00B41942">
      <w:pPr>
        <w:spacing w:after="120" w:line="280" w:lineRule="auto"/>
        <w:jc w:val="both"/>
        <w:rPr>
          <w:rFonts w:ascii="Bookman Old Style" w:hAnsi="Bookman Old Style" w:cs="Arial"/>
        </w:rPr>
      </w:pPr>
      <w:r w:rsidRPr="00DD413C">
        <w:rPr>
          <w:rFonts w:ascii="Bookman Old Style" w:hAnsi="Bookman Old Style" w:cs="Arial"/>
          <w:highlight w:val="yellow"/>
        </w:rPr>
        <w:t>This Part documents the operational procedures of the Portfolio Manager covering matters specifically called for by SEBI under the Inspection Manual for Portfolio Managers and Paragraphs 3.1 and 3.2 of the SEBI Circular dated September 30, 2022. This Part forms an integral part of this composite Policy.</w:t>
      </w:r>
    </w:p>
    <w:p w14:paraId="1F9CA1B1" w14:textId="69BE673B" w:rsidR="00B41942" w:rsidRPr="001F637B" w:rsidRDefault="00B41942" w:rsidP="009609FA">
      <w:pPr>
        <w:pStyle w:val="Heading1"/>
        <w:jc w:val="both"/>
        <w:rPr>
          <w:rFonts w:ascii="Bookman Old Style" w:hAnsi="Bookman Old Style" w:cs="Arial"/>
          <w:sz w:val="20"/>
          <w:szCs w:val="20"/>
        </w:rPr>
      </w:pPr>
      <w:bookmarkStart w:id="46" w:name="_Toc229150906"/>
      <w:bookmarkStart w:id="47" w:name="_Toc229159953"/>
      <w:r w:rsidRPr="001F637B">
        <w:rPr>
          <w:rFonts w:ascii="Bookman Old Style" w:hAnsi="Bookman Old Style" w:cs="Arial"/>
          <w:sz w:val="20"/>
          <w:szCs w:val="20"/>
        </w:rPr>
        <w:t>Account Opening Procedure / Onboarding of Clients</w:t>
      </w:r>
      <w:bookmarkEnd w:id="46"/>
      <w:bookmarkEnd w:id="47"/>
    </w:p>
    <w:p w14:paraId="56F3C77C"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 xml:space="preserve">Onboarding is undertaken in accordance with SEBI (Portfolio Managers) Regulations, 2020, the SEBI Master Circular for Portfolio Managers, and Paragraph 3.1 of the SEBI Circular dated </w:t>
      </w:r>
      <w:r w:rsidRPr="00147F00">
        <w:rPr>
          <w:rFonts w:ascii="Bookman Old Style" w:hAnsi="Bookman Old Style" w:cs="Arial"/>
          <w:highlight w:val="yellow"/>
        </w:rPr>
        <w:t>September 30, 2022</w:t>
      </w:r>
      <w:r w:rsidRPr="001F637B">
        <w:rPr>
          <w:rFonts w:ascii="Bookman Old Style" w:hAnsi="Bookman Old Style" w:cs="Arial"/>
        </w:rPr>
        <w:t xml:space="preserve"> (Onboarding Process). The procedure is as follows:</w:t>
      </w:r>
    </w:p>
    <w:p w14:paraId="6138C520"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Initial Engagement: Prospective client is provided the Disclosure Document, sample Investment Approach details, fee illustration in the SEBI-prescribed format, and a copy of the Client Agreement for review.</w:t>
      </w:r>
    </w:p>
    <w:p w14:paraId="59EF37BD"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Risk Profiling: Detailed Risk Profiling Form is completed (refer Section 25) and signed by the client; profiling outcome is shared with the client.</w:t>
      </w:r>
    </w:p>
    <w:p w14:paraId="493A22B4"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 xml:space="preserve">KYC Documentation: PAN, Aadhaar/officially valid document for proof of address, photograph, bank proof, demat proof, FATCA/CRS declaration, and (for non-individuals) constitutional documents, board/partnership/trust resolutions </w:t>
      </w:r>
      <w:proofErr w:type="spellStart"/>
      <w:r w:rsidRPr="001F637B">
        <w:rPr>
          <w:rFonts w:ascii="Bookman Old Style" w:hAnsi="Bookman Old Style" w:cs="Arial"/>
        </w:rPr>
        <w:t>authorising</w:t>
      </w:r>
      <w:proofErr w:type="spellEnd"/>
      <w:r w:rsidRPr="001F637B">
        <w:rPr>
          <w:rFonts w:ascii="Bookman Old Style" w:hAnsi="Bookman Old Style" w:cs="Arial"/>
        </w:rPr>
        <w:t xml:space="preserve"> investment, list of </w:t>
      </w:r>
      <w:proofErr w:type="spellStart"/>
      <w:r w:rsidRPr="001F637B">
        <w:rPr>
          <w:rFonts w:ascii="Bookman Old Style" w:hAnsi="Bookman Old Style" w:cs="Arial"/>
        </w:rPr>
        <w:t>authorised</w:t>
      </w:r>
      <w:proofErr w:type="spellEnd"/>
      <w:r w:rsidRPr="001F637B">
        <w:rPr>
          <w:rFonts w:ascii="Bookman Old Style" w:hAnsi="Bookman Old Style" w:cs="Arial"/>
        </w:rPr>
        <w:t xml:space="preserve"> signatories, and ultimate beneficial ownership declaration.</w:t>
      </w:r>
    </w:p>
    <w:p w14:paraId="56523373"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KRA / CKYC: KYC is uploaded to/verified through KRA and CKYCR; In Person Verification (IPV) is conducted (in-person or video-based as per SEBI norms). Names of clients for whom IPV could not be done are recorded with reasons and remediation.</w:t>
      </w:r>
    </w:p>
    <w:p w14:paraId="2A8C975F" w14:textId="77777777" w:rsidR="00B41942" w:rsidRPr="00635104" w:rsidRDefault="00B41942">
      <w:pPr>
        <w:pStyle w:val="ListParagraph"/>
        <w:numPr>
          <w:ilvl w:val="0"/>
          <w:numId w:val="31"/>
        </w:numPr>
        <w:spacing w:before="0" w:after="80" w:line="280" w:lineRule="auto"/>
        <w:ind w:left="709"/>
        <w:contextualSpacing w:val="0"/>
        <w:jc w:val="both"/>
        <w:rPr>
          <w:rFonts w:ascii="Bookman Old Style" w:hAnsi="Bookman Old Style" w:cs="Arial"/>
          <w:highlight w:val="yellow"/>
        </w:rPr>
      </w:pPr>
      <w:r w:rsidRPr="00635104">
        <w:rPr>
          <w:rFonts w:ascii="Bookman Old Style" w:hAnsi="Bookman Old Style" w:cs="Arial"/>
          <w:highlight w:val="yellow"/>
        </w:rPr>
        <w:t>PMLA Screening: Name screening against UAPA, UNSC, RBI/MHA, and internal sanctions/PEP lists; classification into Category A / B / C as per Section 7.</w:t>
      </w:r>
    </w:p>
    <w:p w14:paraId="6E97F41F"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Agreement Execution: Client Agreement, Power of Attorney (limited and purpose-specific), Disclosure Document acknowledgment, Fee Annexure, and Investment Approach selection are executed.</w:t>
      </w:r>
    </w:p>
    <w:p w14:paraId="567D3695"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Account Setup: Separate bank and demat account opened in the client's name; UCC registration with depository/exchange where applicable.</w:t>
      </w:r>
    </w:p>
    <w:p w14:paraId="1CA3CC92"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Welcome Communication: Client is provided login credentials for the client portal, contact details of the Compliance/Principal Officer, grievance redressal process, SCORES/SEBI SI Portal contact, and APMI references.</w:t>
      </w:r>
    </w:p>
    <w:p w14:paraId="52EBB9BB" w14:textId="77777777" w:rsidR="00B41942" w:rsidRPr="001F637B" w:rsidRDefault="00B41942">
      <w:pPr>
        <w:pStyle w:val="ListParagraph"/>
        <w:numPr>
          <w:ilvl w:val="0"/>
          <w:numId w:val="31"/>
        </w:numPr>
        <w:spacing w:before="0" w:after="80" w:line="280" w:lineRule="auto"/>
        <w:ind w:left="709"/>
        <w:contextualSpacing w:val="0"/>
        <w:jc w:val="both"/>
        <w:rPr>
          <w:rFonts w:ascii="Bookman Old Style" w:hAnsi="Bookman Old Style" w:cs="Arial"/>
        </w:rPr>
      </w:pPr>
      <w:r w:rsidRPr="001F637B">
        <w:rPr>
          <w:rFonts w:ascii="Bookman Old Style" w:hAnsi="Bookman Old Style" w:cs="Arial"/>
        </w:rPr>
        <w:t>Periodic Review: Client KYC and risk profile reviewed at least once every three years, or earlier on material change.</w:t>
      </w:r>
    </w:p>
    <w:p w14:paraId="384119B8" w14:textId="29F48072" w:rsidR="00B41942" w:rsidRPr="001F637B" w:rsidRDefault="00B41942" w:rsidP="001F637B">
      <w:pPr>
        <w:pStyle w:val="Heading1"/>
        <w:jc w:val="both"/>
        <w:rPr>
          <w:rFonts w:ascii="Bookman Old Style" w:hAnsi="Bookman Old Style" w:cs="Arial"/>
          <w:sz w:val="20"/>
          <w:szCs w:val="20"/>
        </w:rPr>
      </w:pPr>
      <w:bookmarkStart w:id="48" w:name="_Toc229150907"/>
      <w:bookmarkStart w:id="49" w:name="_Toc229159954"/>
      <w:r w:rsidRPr="001F637B">
        <w:rPr>
          <w:rFonts w:ascii="Bookman Old Style" w:hAnsi="Bookman Old Style" w:cs="Arial"/>
          <w:sz w:val="20"/>
          <w:szCs w:val="20"/>
        </w:rPr>
        <w:t>Fees and Charges</w:t>
      </w:r>
      <w:bookmarkEnd w:id="48"/>
      <w:bookmarkEnd w:id="49"/>
    </w:p>
    <w:p w14:paraId="34847911"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 xml:space="preserve">Fees are charged in compliance with the SEBI (Portfolio Managers) Regulations, 2020, the SEBI Master Circular, and Paragraph 3.2 of the </w:t>
      </w:r>
      <w:r w:rsidRPr="00776554">
        <w:rPr>
          <w:rFonts w:ascii="Bookman Old Style" w:hAnsi="Bookman Old Style" w:cs="Arial"/>
          <w:highlight w:val="yellow"/>
        </w:rPr>
        <w:t>SEBI Circular dated September 30, 2022</w:t>
      </w:r>
      <w:r w:rsidRPr="001F637B">
        <w:rPr>
          <w:rFonts w:ascii="Bookman Old Style" w:hAnsi="Bookman Old Style" w:cs="Arial"/>
        </w:rPr>
        <w:t>. The Portfolio Manager:</w:t>
      </w:r>
    </w:p>
    <w:p w14:paraId="5925571E"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lastRenderedPageBreak/>
        <w:t xml:space="preserve">Discloses fixed fee, performance fee, hurdle rate, and </w:t>
      </w:r>
      <w:proofErr w:type="gramStart"/>
      <w:r w:rsidRPr="001F637B">
        <w:rPr>
          <w:rFonts w:ascii="Bookman Old Style" w:hAnsi="Bookman Old Style" w:cs="Arial"/>
        </w:rPr>
        <w:t>high water</w:t>
      </w:r>
      <w:proofErr w:type="gramEnd"/>
      <w:r w:rsidRPr="001F637B">
        <w:rPr>
          <w:rFonts w:ascii="Bookman Old Style" w:hAnsi="Bookman Old Style" w:cs="Arial"/>
        </w:rPr>
        <w:t xml:space="preserve"> mark methodology in the Disclosure Document and Fee Annexure.</w:t>
      </w:r>
    </w:p>
    <w:p w14:paraId="088C00DB"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Provides the SEBI-prescribed Annexure 8A (Fee Illustration) covering all three permitted fee structures, signed and acknowledged by the client prior to onboarding.</w:t>
      </w:r>
    </w:p>
    <w:p w14:paraId="7E0974B2"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 xml:space="preserve">Applies the </w:t>
      </w:r>
      <w:proofErr w:type="gramStart"/>
      <w:r w:rsidRPr="001F637B">
        <w:rPr>
          <w:rFonts w:ascii="Bookman Old Style" w:hAnsi="Bookman Old Style" w:cs="Arial"/>
        </w:rPr>
        <w:t>high water</w:t>
      </w:r>
      <w:proofErr w:type="gramEnd"/>
      <w:r w:rsidRPr="001F637B">
        <w:rPr>
          <w:rFonts w:ascii="Bookman Old Style" w:hAnsi="Bookman Old Style" w:cs="Arial"/>
        </w:rPr>
        <w:t xml:space="preserve"> mark principle for performance fees on a client-by-client basis, and computes performance fee only on profits above the hurdle rate net of all expenses.</w:t>
      </w:r>
    </w:p>
    <w:p w14:paraId="4BCED822"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Caps direct, indirect, and exit-load related charges in line with SEBI prescribed limits.</w:t>
      </w:r>
    </w:p>
    <w:p w14:paraId="594679C6"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Does not charge any upfront fees, directly or indirectly.</w:t>
      </w:r>
    </w:p>
    <w:p w14:paraId="7FBA9092"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Charges exit load only as disclosed; no exit load after the period stipulated in the agreement.</w:t>
      </w:r>
    </w:p>
    <w:p w14:paraId="3349239B" w14:textId="77777777" w:rsidR="00B41942" w:rsidRPr="001F637B" w:rsidRDefault="00B41942">
      <w:pPr>
        <w:pStyle w:val="ListParagraph"/>
        <w:numPr>
          <w:ilvl w:val="0"/>
          <w:numId w:val="33"/>
        </w:numPr>
        <w:spacing w:before="0" w:after="80" w:line="280" w:lineRule="auto"/>
        <w:contextualSpacing w:val="0"/>
        <w:jc w:val="both"/>
        <w:rPr>
          <w:rFonts w:ascii="Bookman Old Style" w:hAnsi="Bookman Old Style" w:cs="Arial"/>
        </w:rPr>
      </w:pPr>
      <w:r w:rsidRPr="001F637B">
        <w:rPr>
          <w:rFonts w:ascii="Bookman Old Style" w:hAnsi="Bookman Old Style" w:cs="Arial"/>
        </w:rPr>
        <w:t>Provides clear disclosure of brokerage, custodian, fund accounting, audit, and any third-party charges in the Disclosure Document and periodic reports.</w:t>
      </w:r>
    </w:p>
    <w:p w14:paraId="17E7C0CF" w14:textId="69C79D90" w:rsidR="00B41942" w:rsidRPr="001F637B" w:rsidRDefault="00B41942" w:rsidP="001F637B">
      <w:pPr>
        <w:pStyle w:val="Heading1"/>
        <w:jc w:val="both"/>
        <w:rPr>
          <w:rFonts w:ascii="Bookman Old Style" w:hAnsi="Bookman Old Style" w:cs="Arial"/>
          <w:sz w:val="20"/>
          <w:szCs w:val="20"/>
        </w:rPr>
      </w:pPr>
      <w:bookmarkStart w:id="50" w:name="_Toc229150908"/>
      <w:bookmarkStart w:id="51" w:name="_Toc229159955"/>
      <w:r w:rsidRPr="001F637B">
        <w:rPr>
          <w:rFonts w:ascii="Bookman Old Style" w:hAnsi="Bookman Old Style" w:cs="Arial"/>
          <w:sz w:val="20"/>
          <w:szCs w:val="20"/>
        </w:rPr>
        <w:t>Risk / Investment Profiling</w:t>
      </w:r>
      <w:bookmarkEnd w:id="50"/>
      <w:bookmarkEnd w:id="51"/>
    </w:p>
    <w:p w14:paraId="30DC9453"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Risk profiling is conducted prior to onboarding and reviewed at least once every three years or earlier on material change. The profiling considers:</w:t>
      </w:r>
    </w:p>
    <w:p w14:paraId="193306CD" w14:textId="77777777" w:rsidR="00B41942" w:rsidRPr="001F637B" w:rsidRDefault="00B41942">
      <w:pPr>
        <w:pStyle w:val="ListParagraph"/>
        <w:numPr>
          <w:ilvl w:val="0"/>
          <w:numId w:val="32"/>
        </w:numPr>
        <w:spacing w:before="0" w:after="80" w:line="280" w:lineRule="auto"/>
        <w:contextualSpacing w:val="0"/>
        <w:jc w:val="both"/>
        <w:rPr>
          <w:rFonts w:ascii="Bookman Old Style" w:hAnsi="Bookman Old Style" w:cs="Arial"/>
        </w:rPr>
      </w:pPr>
      <w:r w:rsidRPr="001F637B">
        <w:rPr>
          <w:rFonts w:ascii="Bookman Old Style" w:hAnsi="Bookman Old Style" w:cs="Arial"/>
        </w:rPr>
        <w:t>Age, occupation, income, net worth, and dependents.</w:t>
      </w:r>
    </w:p>
    <w:p w14:paraId="5598A75C" w14:textId="77777777" w:rsidR="00B41942" w:rsidRPr="001F637B" w:rsidRDefault="00B41942">
      <w:pPr>
        <w:pStyle w:val="ListParagraph"/>
        <w:numPr>
          <w:ilvl w:val="0"/>
          <w:numId w:val="32"/>
        </w:numPr>
        <w:spacing w:before="0" w:after="80" w:line="280" w:lineRule="auto"/>
        <w:contextualSpacing w:val="0"/>
        <w:jc w:val="both"/>
        <w:rPr>
          <w:rFonts w:ascii="Bookman Old Style" w:hAnsi="Bookman Old Style" w:cs="Arial"/>
        </w:rPr>
      </w:pPr>
      <w:r w:rsidRPr="001F637B">
        <w:rPr>
          <w:rFonts w:ascii="Bookman Old Style" w:hAnsi="Bookman Old Style" w:cs="Arial"/>
        </w:rPr>
        <w:t>Investment objective, time horizon, and liquidity needs.</w:t>
      </w:r>
    </w:p>
    <w:p w14:paraId="5C5959CC" w14:textId="77777777" w:rsidR="00B41942" w:rsidRPr="001F637B" w:rsidRDefault="00B41942">
      <w:pPr>
        <w:pStyle w:val="ListParagraph"/>
        <w:numPr>
          <w:ilvl w:val="0"/>
          <w:numId w:val="32"/>
        </w:numPr>
        <w:spacing w:before="0" w:after="80" w:line="280" w:lineRule="auto"/>
        <w:contextualSpacing w:val="0"/>
        <w:jc w:val="both"/>
        <w:rPr>
          <w:rFonts w:ascii="Bookman Old Style" w:hAnsi="Bookman Old Style" w:cs="Arial"/>
        </w:rPr>
      </w:pPr>
      <w:r w:rsidRPr="001F637B">
        <w:rPr>
          <w:rFonts w:ascii="Bookman Old Style" w:hAnsi="Bookman Old Style" w:cs="Arial"/>
        </w:rPr>
        <w:t>Risk tolerance, risk capacity, and prior investment experience.</w:t>
      </w:r>
    </w:p>
    <w:p w14:paraId="6AD6DE18" w14:textId="77777777" w:rsidR="00B41942" w:rsidRPr="001F637B" w:rsidRDefault="00B41942">
      <w:pPr>
        <w:pStyle w:val="ListParagraph"/>
        <w:numPr>
          <w:ilvl w:val="0"/>
          <w:numId w:val="32"/>
        </w:numPr>
        <w:spacing w:before="0" w:after="80" w:line="280" w:lineRule="auto"/>
        <w:contextualSpacing w:val="0"/>
        <w:jc w:val="both"/>
        <w:rPr>
          <w:rFonts w:ascii="Bookman Old Style" w:hAnsi="Bookman Old Style" w:cs="Arial"/>
        </w:rPr>
      </w:pPr>
      <w:r w:rsidRPr="001F637B">
        <w:rPr>
          <w:rFonts w:ascii="Bookman Old Style" w:hAnsi="Bookman Old Style" w:cs="Arial"/>
        </w:rPr>
        <w:t>Knowledge of capital markets and complex instruments.</w:t>
      </w:r>
    </w:p>
    <w:p w14:paraId="501329A4" w14:textId="77777777" w:rsidR="00B41942" w:rsidRPr="001F637B" w:rsidRDefault="00B41942">
      <w:pPr>
        <w:pStyle w:val="ListParagraph"/>
        <w:numPr>
          <w:ilvl w:val="0"/>
          <w:numId w:val="32"/>
        </w:numPr>
        <w:spacing w:before="0" w:after="80" w:line="280" w:lineRule="auto"/>
        <w:contextualSpacing w:val="0"/>
        <w:jc w:val="both"/>
        <w:rPr>
          <w:rFonts w:ascii="Bookman Old Style" w:hAnsi="Bookman Old Style" w:cs="Arial"/>
        </w:rPr>
      </w:pPr>
      <w:r w:rsidRPr="001F637B">
        <w:rPr>
          <w:rFonts w:ascii="Bookman Old Style" w:hAnsi="Bookman Old Style" w:cs="Arial"/>
        </w:rPr>
        <w:t>Source of funds and existing portfolio composition.</w:t>
      </w:r>
    </w:p>
    <w:p w14:paraId="0A315A37"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Clients are mapped to a suitable Investment Approach based on the profiling outcome. Where the client opts for an Investment Approach inconsistent with the profile, a written acknowledgment of suitability mismatch is obtained.</w:t>
      </w:r>
    </w:p>
    <w:p w14:paraId="225E9718" w14:textId="724F5D9F" w:rsidR="00B41942" w:rsidRPr="001F637B" w:rsidRDefault="00B41942" w:rsidP="001F637B">
      <w:pPr>
        <w:pStyle w:val="Heading1"/>
        <w:jc w:val="both"/>
        <w:rPr>
          <w:rFonts w:ascii="Bookman Old Style" w:hAnsi="Bookman Old Style" w:cs="Arial"/>
          <w:sz w:val="20"/>
          <w:szCs w:val="20"/>
        </w:rPr>
      </w:pPr>
      <w:bookmarkStart w:id="52" w:name="_Toc229150909"/>
      <w:bookmarkStart w:id="53" w:name="_Toc229159956"/>
      <w:r w:rsidRPr="001F637B">
        <w:rPr>
          <w:rFonts w:ascii="Bookman Old Style" w:hAnsi="Bookman Old Style" w:cs="Arial"/>
          <w:sz w:val="20"/>
          <w:szCs w:val="20"/>
        </w:rPr>
        <w:t>Investment Approach</w:t>
      </w:r>
      <w:bookmarkEnd w:id="52"/>
      <w:bookmarkEnd w:id="53"/>
    </w:p>
    <w:p w14:paraId="21D74684"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 xml:space="preserve">Each Investment Approach offered by the Portfolio Manager is registered with APMI in accordance with SEBI's </w:t>
      </w:r>
      <w:proofErr w:type="spellStart"/>
      <w:r w:rsidRPr="001F637B">
        <w:rPr>
          <w:rFonts w:ascii="Bookman Old Style" w:hAnsi="Bookman Old Style" w:cs="Arial"/>
        </w:rPr>
        <w:t>standardised</w:t>
      </w:r>
      <w:proofErr w:type="spellEnd"/>
      <w:r w:rsidRPr="001F637B">
        <w:rPr>
          <w:rFonts w:ascii="Bookman Old Style" w:hAnsi="Bookman Old Style" w:cs="Arial"/>
        </w:rPr>
        <w:t xml:space="preserve"> performance benchmarking framework. For each Investment Approach, the Portfolio Manager maintains:</w:t>
      </w:r>
    </w:p>
    <w:p w14:paraId="5AB904C7" w14:textId="77777777" w:rsidR="00B41942" w:rsidRPr="0013682A" w:rsidRDefault="00B41942">
      <w:pPr>
        <w:pStyle w:val="ListParagraph"/>
        <w:numPr>
          <w:ilvl w:val="0"/>
          <w:numId w:val="34"/>
        </w:numPr>
        <w:spacing w:before="0" w:after="80" w:line="280" w:lineRule="auto"/>
        <w:ind w:left="709"/>
        <w:jc w:val="both"/>
        <w:rPr>
          <w:rFonts w:ascii="Bookman Old Style" w:hAnsi="Bookman Old Style" w:cs="Arial"/>
        </w:rPr>
      </w:pPr>
      <w:r w:rsidRPr="0013682A">
        <w:rPr>
          <w:rFonts w:ascii="Bookman Old Style" w:hAnsi="Bookman Old Style" w:cs="Arial"/>
        </w:rPr>
        <w:t>Investment objective, strategy, and indicative asset allocation.</w:t>
      </w:r>
    </w:p>
    <w:p w14:paraId="06F9236F" w14:textId="77777777" w:rsidR="00B41942" w:rsidRPr="0013682A" w:rsidRDefault="00B41942">
      <w:pPr>
        <w:pStyle w:val="ListParagraph"/>
        <w:numPr>
          <w:ilvl w:val="0"/>
          <w:numId w:val="34"/>
        </w:numPr>
        <w:spacing w:before="0" w:after="80" w:line="280" w:lineRule="auto"/>
        <w:ind w:left="709"/>
        <w:jc w:val="both"/>
        <w:rPr>
          <w:rFonts w:ascii="Bookman Old Style" w:hAnsi="Bookman Old Style" w:cs="Arial"/>
        </w:rPr>
      </w:pPr>
      <w:r w:rsidRPr="0013682A">
        <w:rPr>
          <w:rFonts w:ascii="Bookman Old Style" w:hAnsi="Bookman Old Style" w:cs="Arial"/>
        </w:rPr>
        <w:t>Benchmark and basis of selection.</w:t>
      </w:r>
    </w:p>
    <w:p w14:paraId="1ED10456" w14:textId="77777777" w:rsidR="00B41942" w:rsidRPr="0013682A" w:rsidRDefault="00B41942">
      <w:pPr>
        <w:pStyle w:val="ListParagraph"/>
        <w:numPr>
          <w:ilvl w:val="0"/>
          <w:numId w:val="34"/>
        </w:numPr>
        <w:spacing w:before="0" w:after="80" w:line="280" w:lineRule="auto"/>
        <w:ind w:left="709"/>
        <w:jc w:val="both"/>
        <w:rPr>
          <w:rFonts w:ascii="Bookman Old Style" w:hAnsi="Bookman Old Style" w:cs="Arial"/>
        </w:rPr>
      </w:pPr>
      <w:r w:rsidRPr="0013682A">
        <w:rPr>
          <w:rFonts w:ascii="Bookman Old Style" w:hAnsi="Bookman Old Style" w:cs="Arial"/>
        </w:rPr>
        <w:t>Permitted investment universe and concentration limits.</w:t>
      </w:r>
    </w:p>
    <w:p w14:paraId="53A014C2" w14:textId="77777777" w:rsidR="00B41942" w:rsidRPr="0013682A" w:rsidRDefault="00B41942">
      <w:pPr>
        <w:pStyle w:val="ListParagraph"/>
        <w:numPr>
          <w:ilvl w:val="0"/>
          <w:numId w:val="34"/>
        </w:numPr>
        <w:spacing w:before="0" w:after="80" w:line="280" w:lineRule="auto"/>
        <w:ind w:left="709"/>
        <w:jc w:val="both"/>
        <w:rPr>
          <w:rFonts w:ascii="Bookman Old Style" w:hAnsi="Bookman Old Style" w:cs="Arial"/>
        </w:rPr>
      </w:pPr>
      <w:r w:rsidRPr="0013682A">
        <w:rPr>
          <w:rFonts w:ascii="Bookman Old Style" w:hAnsi="Bookman Old Style" w:cs="Arial"/>
        </w:rPr>
        <w:t>Risk factors specific to the strategy.</w:t>
      </w:r>
    </w:p>
    <w:p w14:paraId="3F493530" w14:textId="77777777" w:rsidR="00B41942" w:rsidRPr="0013682A" w:rsidRDefault="00B41942">
      <w:pPr>
        <w:pStyle w:val="ListParagraph"/>
        <w:numPr>
          <w:ilvl w:val="0"/>
          <w:numId w:val="34"/>
        </w:numPr>
        <w:spacing w:before="0" w:after="80" w:line="280" w:lineRule="auto"/>
        <w:ind w:left="709"/>
        <w:jc w:val="both"/>
        <w:rPr>
          <w:rFonts w:ascii="Bookman Old Style" w:hAnsi="Bookman Old Style" w:cs="Arial"/>
        </w:rPr>
      </w:pPr>
      <w:r w:rsidRPr="0013682A">
        <w:rPr>
          <w:rFonts w:ascii="Bookman Old Style" w:hAnsi="Bookman Old Style" w:cs="Arial"/>
        </w:rPr>
        <w:t>Minimum investment amount (subject to the regulatory floor) and lock-in, if any.</w:t>
      </w:r>
    </w:p>
    <w:p w14:paraId="768A3CB0"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Investment decisions are taken by qualified personnel and recorded in the order management/trade decision system. Pre-trade and post-trade compliance checks are run for concentration, exposure, and regulatory limits.</w:t>
      </w:r>
    </w:p>
    <w:p w14:paraId="30472C5E" w14:textId="7F40C195" w:rsidR="00B41942" w:rsidRPr="001F637B" w:rsidRDefault="00B41942" w:rsidP="001F637B">
      <w:pPr>
        <w:pStyle w:val="Heading1"/>
        <w:jc w:val="both"/>
        <w:rPr>
          <w:rFonts w:ascii="Bookman Old Style" w:hAnsi="Bookman Old Style" w:cs="Arial"/>
          <w:sz w:val="20"/>
          <w:szCs w:val="20"/>
        </w:rPr>
      </w:pPr>
      <w:bookmarkStart w:id="54" w:name="_Toc229150910"/>
      <w:bookmarkStart w:id="55" w:name="_Toc229159957"/>
      <w:r w:rsidRPr="001F637B">
        <w:rPr>
          <w:rFonts w:ascii="Bookman Old Style" w:hAnsi="Bookman Old Style" w:cs="Arial"/>
          <w:sz w:val="20"/>
          <w:szCs w:val="20"/>
        </w:rPr>
        <w:t>Performance of the Portfolio Manager</w:t>
      </w:r>
      <w:bookmarkEnd w:id="54"/>
      <w:bookmarkEnd w:id="55"/>
    </w:p>
    <w:p w14:paraId="357DD283"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 xml:space="preserve">Performance computation, disclosure, and reporting are governed by SEBI's </w:t>
      </w:r>
      <w:proofErr w:type="spellStart"/>
      <w:r w:rsidRPr="001F637B">
        <w:rPr>
          <w:rFonts w:ascii="Bookman Old Style" w:hAnsi="Bookman Old Style" w:cs="Arial"/>
        </w:rPr>
        <w:t>standardised</w:t>
      </w:r>
      <w:proofErr w:type="spellEnd"/>
      <w:r w:rsidRPr="001F637B">
        <w:rPr>
          <w:rFonts w:ascii="Bookman Old Style" w:hAnsi="Bookman Old Style" w:cs="Arial"/>
        </w:rPr>
        <w:t xml:space="preserve"> performance reporting framework and APMI guidelines:</w:t>
      </w:r>
    </w:p>
    <w:p w14:paraId="3701C68E"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lastRenderedPageBreak/>
        <w:t>Time Weighted Rate of Return (TWRR) is the Portfolio Manager's official performance metric for client- and Investment-Approach-level reporting.</w:t>
      </w:r>
    </w:p>
    <w:p w14:paraId="5A2AFCB1"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t>Internal Rate of Return (XIRR) is provided in client statements alongside TWRR.</w:t>
      </w:r>
    </w:p>
    <w:p w14:paraId="3E2CFA9A"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t xml:space="preserve">Aggregate Investment Approach performance is computed in accordance with the </w:t>
      </w:r>
      <w:proofErr w:type="spellStart"/>
      <w:r w:rsidRPr="0013682A">
        <w:rPr>
          <w:rFonts w:ascii="Bookman Old Style" w:hAnsi="Bookman Old Style" w:cs="Arial"/>
        </w:rPr>
        <w:t>standardised</w:t>
      </w:r>
      <w:proofErr w:type="spellEnd"/>
      <w:r w:rsidRPr="0013682A">
        <w:rPr>
          <w:rFonts w:ascii="Bookman Old Style" w:hAnsi="Bookman Old Style" w:cs="Arial"/>
        </w:rPr>
        <w:t xml:space="preserve"> methodology and benchmarked against the APMI-registered benchmark.</w:t>
      </w:r>
    </w:p>
    <w:p w14:paraId="5E96B9CA"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t>Performance disclosures on the Portfolio Manager's website, marketing material, and Disclosure Document are subject to firm-level performance certification under Clause 5.3 of the SEBI Master Circular.</w:t>
      </w:r>
    </w:p>
    <w:p w14:paraId="57625E09"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t>Quarterly client reports include portfolio holdings, transactions, fees and expenses, NAV, units (where applicable), and TWRR/XIRR over standard periods.</w:t>
      </w:r>
    </w:p>
    <w:p w14:paraId="73BE6F6F" w14:textId="77777777" w:rsidR="00B41942" w:rsidRPr="0013682A" w:rsidRDefault="00B41942">
      <w:pPr>
        <w:pStyle w:val="ListParagraph"/>
        <w:numPr>
          <w:ilvl w:val="0"/>
          <w:numId w:val="35"/>
        </w:numPr>
        <w:spacing w:before="0" w:after="80" w:line="280" w:lineRule="auto"/>
        <w:ind w:left="709"/>
        <w:jc w:val="both"/>
        <w:rPr>
          <w:rFonts w:ascii="Bookman Old Style" w:hAnsi="Bookman Old Style" w:cs="Arial"/>
        </w:rPr>
      </w:pPr>
      <w:r w:rsidRPr="0013682A">
        <w:rPr>
          <w:rFonts w:ascii="Bookman Old Style" w:hAnsi="Bookman Old Style" w:cs="Arial"/>
        </w:rPr>
        <w:t>Audited NAV and performance numbers are uploaded on the SEBI SI Portal and APMI portal within prescribed timelines.</w:t>
      </w:r>
    </w:p>
    <w:p w14:paraId="6BC5F24D" w14:textId="2960BD09" w:rsidR="00B41942" w:rsidRPr="001F637B" w:rsidRDefault="00B41942" w:rsidP="001F637B">
      <w:pPr>
        <w:pStyle w:val="Heading1"/>
        <w:jc w:val="both"/>
        <w:rPr>
          <w:rFonts w:ascii="Bookman Old Style" w:hAnsi="Bookman Old Style" w:cs="Arial"/>
          <w:sz w:val="20"/>
          <w:szCs w:val="20"/>
        </w:rPr>
      </w:pPr>
      <w:bookmarkStart w:id="56" w:name="_Toc229150911"/>
      <w:bookmarkStart w:id="57" w:name="_Toc229159958"/>
      <w:r w:rsidRPr="001F637B">
        <w:rPr>
          <w:rFonts w:ascii="Bookman Old Style" w:hAnsi="Bookman Old Style" w:cs="Arial"/>
          <w:sz w:val="20"/>
          <w:szCs w:val="20"/>
        </w:rPr>
        <w:t>Investment of Clients' Funds and Management of Clients' Securities</w:t>
      </w:r>
      <w:bookmarkEnd w:id="56"/>
      <w:bookmarkEnd w:id="57"/>
    </w:p>
    <w:p w14:paraId="23ED7347"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Client funds and securities are held in segregated bank and demat accounts in the client's name; pooling of client funds and securities is not undertaken.</w:t>
      </w:r>
    </w:p>
    <w:p w14:paraId="676C35A5"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Investments are made strictly in accordance with the agreed Investment Approach and within regulatory limits.</w:t>
      </w:r>
    </w:p>
    <w:p w14:paraId="3D52E664"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The Portfolio Manager does not borrow funds or securities on behalf of clients; leverage is not used.</w:t>
      </w:r>
    </w:p>
    <w:p w14:paraId="305D4FF0"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Derivatives are used only as permitted under the SEBI (Portfolio Managers) Regulations, 2020 and only for the purposes specified therein.</w:t>
      </w:r>
    </w:p>
    <w:p w14:paraId="06D07A37"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Investment in associate/group entities, if any, is undertaken only in accordance with the regulatory cap and with prior written client consent.</w:t>
      </w:r>
    </w:p>
    <w:p w14:paraId="06ED4329" w14:textId="77777777" w:rsidR="00B41942" w:rsidRPr="0013682A" w:rsidRDefault="00B41942">
      <w:pPr>
        <w:pStyle w:val="ListParagraph"/>
        <w:numPr>
          <w:ilvl w:val="0"/>
          <w:numId w:val="36"/>
        </w:numPr>
        <w:spacing w:before="0" w:after="80" w:line="280" w:lineRule="auto"/>
        <w:ind w:left="709" w:hanging="425"/>
        <w:jc w:val="both"/>
        <w:rPr>
          <w:rFonts w:ascii="Bookman Old Style" w:hAnsi="Bookman Old Style" w:cs="Arial"/>
        </w:rPr>
      </w:pPr>
      <w:r w:rsidRPr="0013682A">
        <w:rPr>
          <w:rFonts w:ascii="Bookman Old Style" w:hAnsi="Bookman Old Style" w:cs="Arial"/>
        </w:rPr>
        <w:t>Custodian and fund accountant are independent SEBI-registered entities engaged through written agreements.</w:t>
      </w:r>
    </w:p>
    <w:p w14:paraId="573631B1" w14:textId="407DE00B" w:rsidR="00B41942" w:rsidRPr="001F637B" w:rsidRDefault="00B41942" w:rsidP="001F637B">
      <w:pPr>
        <w:pStyle w:val="Heading1"/>
        <w:jc w:val="both"/>
        <w:rPr>
          <w:rFonts w:ascii="Bookman Old Style" w:hAnsi="Bookman Old Style" w:cs="Arial"/>
          <w:sz w:val="20"/>
          <w:szCs w:val="20"/>
        </w:rPr>
      </w:pPr>
      <w:bookmarkStart w:id="58" w:name="_Toc229150912"/>
      <w:bookmarkStart w:id="59" w:name="_Toc229159959"/>
      <w:r w:rsidRPr="001F637B">
        <w:rPr>
          <w:rFonts w:ascii="Bookman Old Style" w:hAnsi="Bookman Old Style" w:cs="Arial"/>
          <w:sz w:val="20"/>
          <w:szCs w:val="20"/>
        </w:rPr>
        <w:t>Settlement of Funds / Securities</w:t>
      </w:r>
      <w:bookmarkEnd w:id="58"/>
      <w:bookmarkEnd w:id="59"/>
    </w:p>
    <w:p w14:paraId="551D3D2C" w14:textId="77777777" w:rsidR="00B41942" w:rsidRPr="0013682A" w:rsidRDefault="00B41942">
      <w:pPr>
        <w:pStyle w:val="ListParagraph"/>
        <w:numPr>
          <w:ilvl w:val="0"/>
          <w:numId w:val="37"/>
        </w:numPr>
        <w:spacing w:before="0" w:after="80" w:line="280" w:lineRule="auto"/>
        <w:ind w:left="709"/>
        <w:jc w:val="both"/>
        <w:rPr>
          <w:rFonts w:ascii="Bookman Old Style" w:hAnsi="Bookman Old Style" w:cs="Arial"/>
        </w:rPr>
      </w:pPr>
      <w:r w:rsidRPr="0013682A">
        <w:rPr>
          <w:rFonts w:ascii="Bookman Old Style" w:hAnsi="Bookman Old Style" w:cs="Arial"/>
        </w:rPr>
        <w:t>All trades are settled on a delivery-versus-payment basis through the appointed custodian.</w:t>
      </w:r>
    </w:p>
    <w:p w14:paraId="5DC0B413" w14:textId="77777777" w:rsidR="00B41942" w:rsidRPr="0013682A" w:rsidRDefault="00B41942">
      <w:pPr>
        <w:pStyle w:val="ListParagraph"/>
        <w:numPr>
          <w:ilvl w:val="0"/>
          <w:numId w:val="37"/>
        </w:numPr>
        <w:spacing w:before="0" w:after="80" w:line="280" w:lineRule="auto"/>
        <w:ind w:left="709"/>
        <w:jc w:val="both"/>
        <w:rPr>
          <w:rFonts w:ascii="Bookman Old Style" w:hAnsi="Bookman Old Style" w:cs="Arial"/>
        </w:rPr>
      </w:pPr>
      <w:r w:rsidRPr="0013682A">
        <w:rPr>
          <w:rFonts w:ascii="Bookman Old Style" w:hAnsi="Bookman Old Style" w:cs="Arial"/>
        </w:rPr>
        <w:t>Funds are received only from, and paid only to, the bank account designated by the client in the agreement and recorded in the KYC; third-party receipts/payments are strictly prohibited (refer Section 32).</w:t>
      </w:r>
    </w:p>
    <w:p w14:paraId="44C916BE" w14:textId="77777777" w:rsidR="00B41942" w:rsidRPr="0013682A" w:rsidRDefault="00B41942">
      <w:pPr>
        <w:pStyle w:val="ListParagraph"/>
        <w:numPr>
          <w:ilvl w:val="0"/>
          <w:numId w:val="37"/>
        </w:numPr>
        <w:spacing w:before="0" w:after="80" w:line="280" w:lineRule="auto"/>
        <w:ind w:left="709"/>
        <w:jc w:val="both"/>
        <w:rPr>
          <w:rFonts w:ascii="Bookman Old Style" w:hAnsi="Bookman Old Style" w:cs="Arial"/>
        </w:rPr>
      </w:pPr>
      <w:r w:rsidRPr="0013682A">
        <w:rPr>
          <w:rFonts w:ascii="Bookman Old Style" w:hAnsi="Bookman Old Style" w:cs="Arial"/>
        </w:rPr>
        <w:t>Securities are credited only to, and debited only from, the demat account designated by the client.</w:t>
      </w:r>
    </w:p>
    <w:p w14:paraId="717A48B1" w14:textId="77777777" w:rsidR="00B41942" w:rsidRPr="0013682A" w:rsidRDefault="00B41942">
      <w:pPr>
        <w:pStyle w:val="ListParagraph"/>
        <w:numPr>
          <w:ilvl w:val="0"/>
          <w:numId w:val="37"/>
        </w:numPr>
        <w:spacing w:before="0" w:after="80" w:line="280" w:lineRule="auto"/>
        <w:ind w:left="709"/>
        <w:jc w:val="both"/>
        <w:rPr>
          <w:rFonts w:ascii="Bookman Old Style" w:hAnsi="Bookman Old Style" w:cs="Arial"/>
        </w:rPr>
      </w:pPr>
      <w:r w:rsidRPr="0013682A">
        <w:rPr>
          <w:rFonts w:ascii="Bookman Old Style" w:hAnsi="Bookman Old Style" w:cs="Arial"/>
        </w:rPr>
        <w:t>Reconciliations of the bank, demat, and custodian/fund accountant records are performed daily by the operations team and independently reviewed by compliance.</w:t>
      </w:r>
    </w:p>
    <w:p w14:paraId="7B43AE0D" w14:textId="77777777" w:rsidR="00B41942" w:rsidRPr="0013682A" w:rsidRDefault="00B41942">
      <w:pPr>
        <w:pStyle w:val="ListParagraph"/>
        <w:numPr>
          <w:ilvl w:val="0"/>
          <w:numId w:val="37"/>
        </w:numPr>
        <w:spacing w:before="0" w:after="80" w:line="280" w:lineRule="auto"/>
        <w:ind w:left="709"/>
        <w:jc w:val="both"/>
        <w:rPr>
          <w:rFonts w:ascii="Bookman Old Style" w:hAnsi="Bookman Old Style" w:cs="Arial"/>
        </w:rPr>
      </w:pPr>
      <w:r w:rsidRPr="0013682A">
        <w:rPr>
          <w:rFonts w:ascii="Bookman Old Style" w:hAnsi="Bookman Old Style" w:cs="Arial"/>
        </w:rPr>
        <w:t>Corporate actions are processed through the custodian, with results reflected in client statements.</w:t>
      </w:r>
    </w:p>
    <w:p w14:paraId="6E791D62" w14:textId="7907EF8D" w:rsidR="00B41942" w:rsidRPr="001F637B" w:rsidRDefault="00B41942" w:rsidP="001F637B">
      <w:pPr>
        <w:pStyle w:val="Heading1"/>
        <w:jc w:val="both"/>
        <w:rPr>
          <w:rFonts w:ascii="Bookman Old Style" w:hAnsi="Bookman Old Style" w:cs="Arial"/>
          <w:sz w:val="20"/>
          <w:szCs w:val="20"/>
        </w:rPr>
      </w:pPr>
      <w:bookmarkStart w:id="60" w:name="_Toc229150913"/>
      <w:bookmarkStart w:id="61" w:name="_Toc229159960"/>
      <w:r w:rsidRPr="001F637B">
        <w:rPr>
          <w:rFonts w:ascii="Bookman Old Style" w:hAnsi="Bookman Old Style" w:cs="Arial"/>
          <w:sz w:val="20"/>
          <w:szCs w:val="20"/>
        </w:rPr>
        <w:t>Issuance and Collection of Cheques to/from Clients</w:t>
      </w:r>
      <w:bookmarkEnd w:id="60"/>
      <w:bookmarkEnd w:id="61"/>
    </w:p>
    <w:p w14:paraId="376931C3" w14:textId="77777777" w:rsidR="00B41942" w:rsidRPr="0013682A" w:rsidRDefault="00B41942">
      <w:pPr>
        <w:pStyle w:val="ListParagraph"/>
        <w:numPr>
          <w:ilvl w:val="0"/>
          <w:numId w:val="38"/>
        </w:numPr>
        <w:spacing w:before="0" w:after="80" w:line="280" w:lineRule="auto"/>
        <w:ind w:left="709"/>
        <w:jc w:val="both"/>
        <w:rPr>
          <w:rFonts w:ascii="Bookman Old Style" w:hAnsi="Bookman Old Style" w:cs="Arial"/>
        </w:rPr>
      </w:pPr>
      <w:r w:rsidRPr="0013682A">
        <w:rPr>
          <w:rFonts w:ascii="Bookman Old Style" w:hAnsi="Bookman Old Style" w:cs="Arial"/>
        </w:rPr>
        <w:t xml:space="preserve">Cheques (or transfers) are issued only in </w:t>
      </w:r>
      <w:proofErr w:type="spellStart"/>
      <w:r w:rsidRPr="0013682A">
        <w:rPr>
          <w:rFonts w:ascii="Bookman Old Style" w:hAnsi="Bookman Old Style" w:cs="Arial"/>
        </w:rPr>
        <w:t>favour</w:t>
      </w:r>
      <w:proofErr w:type="spellEnd"/>
      <w:r w:rsidRPr="0013682A">
        <w:rPr>
          <w:rFonts w:ascii="Bookman Old Style" w:hAnsi="Bookman Old Style" w:cs="Arial"/>
        </w:rPr>
        <w:t xml:space="preserve"> of the client's registered bank account; no bearer or third-party cheques are issued.</w:t>
      </w:r>
    </w:p>
    <w:p w14:paraId="59A6D4BD" w14:textId="77777777" w:rsidR="00B41942" w:rsidRPr="0013682A" w:rsidRDefault="00B41942">
      <w:pPr>
        <w:pStyle w:val="ListParagraph"/>
        <w:numPr>
          <w:ilvl w:val="0"/>
          <w:numId w:val="38"/>
        </w:numPr>
        <w:spacing w:before="0" w:after="80" w:line="280" w:lineRule="auto"/>
        <w:ind w:left="709"/>
        <w:jc w:val="both"/>
        <w:rPr>
          <w:rFonts w:ascii="Bookman Old Style" w:hAnsi="Bookman Old Style" w:cs="Arial"/>
        </w:rPr>
      </w:pPr>
      <w:r w:rsidRPr="0013682A">
        <w:rPr>
          <w:rFonts w:ascii="Bookman Old Style" w:hAnsi="Bookman Old Style" w:cs="Arial"/>
        </w:rPr>
        <w:t xml:space="preserve">Cheques received from clients (where electronic transfer is not feasible) are accepted only if drawn on the bank account registered in the KYC, in the name of the client, and in </w:t>
      </w:r>
      <w:proofErr w:type="spellStart"/>
      <w:r w:rsidRPr="0013682A">
        <w:rPr>
          <w:rFonts w:ascii="Bookman Old Style" w:hAnsi="Bookman Old Style" w:cs="Arial"/>
        </w:rPr>
        <w:lastRenderedPageBreak/>
        <w:t>favour</w:t>
      </w:r>
      <w:proofErr w:type="spellEnd"/>
      <w:r w:rsidRPr="0013682A">
        <w:rPr>
          <w:rFonts w:ascii="Bookman Old Style" w:hAnsi="Bookman Old Style" w:cs="Arial"/>
        </w:rPr>
        <w:t xml:space="preserve"> of the Portfolio Manager / custodian as designated; cash is not accepted under any circumstances.</w:t>
      </w:r>
    </w:p>
    <w:p w14:paraId="703C3AC3" w14:textId="77777777" w:rsidR="00B41942" w:rsidRPr="0013682A" w:rsidRDefault="00B41942">
      <w:pPr>
        <w:pStyle w:val="ListParagraph"/>
        <w:numPr>
          <w:ilvl w:val="0"/>
          <w:numId w:val="38"/>
        </w:numPr>
        <w:spacing w:before="0" w:after="80" w:line="280" w:lineRule="auto"/>
        <w:ind w:left="709"/>
        <w:jc w:val="both"/>
        <w:rPr>
          <w:rFonts w:ascii="Bookman Old Style" w:hAnsi="Bookman Old Style" w:cs="Arial"/>
        </w:rPr>
      </w:pPr>
      <w:r w:rsidRPr="0013682A">
        <w:rPr>
          <w:rFonts w:ascii="Bookman Old Style" w:hAnsi="Bookman Old Style" w:cs="Arial"/>
        </w:rPr>
        <w:t>All issuance and collection records are maintained chronologically with cheque number, date, amount, drawer/payee, instrument type (account-payee crossed), and reconciled with bank statements.</w:t>
      </w:r>
    </w:p>
    <w:p w14:paraId="51A73E74" w14:textId="77777777" w:rsidR="00B41942" w:rsidRPr="0013682A" w:rsidRDefault="00B41942">
      <w:pPr>
        <w:pStyle w:val="ListParagraph"/>
        <w:numPr>
          <w:ilvl w:val="0"/>
          <w:numId w:val="38"/>
        </w:numPr>
        <w:spacing w:before="0" w:after="80" w:line="280" w:lineRule="auto"/>
        <w:ind w:left="709"/>
        <w:jc w:val="both"/>
        <w:rPr>
          <w:rFonts w:ascii="Bookman Old Style" w:hAnsi="Bookman Old Style" w:cs="Arial"/>
        </w:rPr>
      </w:pPr>
      <w:r w:rsidRPr="0013682A">
        <w:rPr>
          <w:rFonts w:ascii="Bookman Old Style" w:hAnsi="Bookman Old Style" w:cs="Arial"/>
        </w:rPr>
        <w:t>Demand drafts and pay orders are accepted only with documentary evidence of source (banker's certificate) demonstrating the funds originated from the client's account.</w:t>
      </w:r>
    </w:p>
    <w:p w14:paraId="1813CC79" w14:textId="3A2D5AFA" w:rsidR="00B41942" w:rsidRPr="001F637B" w:rsidRDefault="00B41942" w:rsidP="001F637B">
      <w:pPr>
        <w:pStyle w:val="Heading1"/>
        <w:jc w:val="both"/>
        <w:rPr>
          <w:rFonts w:ascii="Bookman Old Style" w:hAnsi="Bookman Old Style" w:cs="Arial"/>
          <w:sz w:val="20"/>
          <w:szCs w:val="20"/>
        </w:rPr>
      </w:pPr>
      <w:bookmarkStart w:id="62" w:name="_Toc229150914"/>
      <w:bookmarkStart w:id="63" w:name="_Toc229159961"/>
      <w:r w:rsidRPr="001F637B">
        <w:rPr>
          <w:rFonts w:ascii="Bookman Old Style" w:hAnsi="Bookman Old Style" w:cs="Arial"/>
          <w:sz w:val="20"/>
          <w:szCs w:val="20"/>
        </w:rPr>
        <w:t>Instances of Cash / Demand Draft Acceptance</w:t>
      </w:r>
      <w:bookmarkEnd w:id="62"/>
      <w:bookmarkEnd w:id="63"/>
    </w:p>
    <w:p w14:paraId="4A97F9C0"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The Portfolio Manager strictly does not accept cash from any client under any circumstances. Demand drafts/pay orders are accepted only with documentary proof that the funds originated from the client's own registered bank account, in line with SEBI and PMLA guidelines. Any deviation, including cash acceptance, would be flagged as a reportable event and an STR would be filed. Records confirming compliance are maintained for inspection.</w:t>
      </w:r>
    </w:p>
    <w:p w14:paraId="435512A4" w14:textId="246E6535" w:rsidR="00B41942" w:rsidRPr="001F637B" w:rsidRDefault="00B41942" w:rsidP="001F637B">
      <w:pPr>
        <w:pStyle w:val="Heading1"/>
        <w:jc w:val="both"/>
        <w:rPr>
          <w:rFonts w:ascii="Bookman Old Style" w:hAnsi="Bookman Old Style" w:cs="Arial"/>
          <w:sz w:val="20"/>
          <w:szCs w:val="20"/>
        </w:rPr>
      </w:pPr>
      <w:bookmarkStart w:id="64" w:name="_Toc229150915"/>
      <w:bookmarkStart w:id="65" w:name="_Toc229159962"/>
      <w:r w:rsidRPr="001F637B">
        <w:rPr>
          <w:rFonts w:ascii="Bookman Old Style" w:hAnsi="Bookman Old Style" w:cs="Arial"/>
          <w:sz w:val="20"/>
          <w:szCs w:val="20"/>
        </w:rPr>
        <w:t>Controls Preventing Acceptance / Issuance of Funds or Securities from/to Persons Other Than Clients</w:t>
      </w:r>
      <w:bookmarkEnd w:id="64"/>
      <w:bookmarkEnd w:id="65"/>
    </w:p>
    <w:p w14:paraId="31B8F9E4" w14:textId="77777777" w:rsidR="00B41942" w:rsidRPr="0013682A" w:rsidRDefault="00B41942">
      <w:pPr>
        <w:pStyle w:val="ListParagraph"/>
        <w:numPr>
          <w:ilvl w:val="0"/>
          <w:numId w:val="39"/>
        </w:numPr>
        <w:spacing w:before="0" w:after="80" w:line="280" w:lineRule="auto"/>
        <w:ind w:left="709"/>
        <w:jc w:val="both"/>
        <w:rPr>
          <w:rFonts w:ascii="Bookman Old Style" w:hAnsi="Bookman Old Style" w:cs="Arial"/>
        </w:rPr>
      </w:pPr>
      <w:r w:rsidRPr="0013682A">
        <w:rPr>
          <w:rFonts w:ascii="Bookman Old Style" w:hAnsi="Bookman Old Style" w:cs="Arial"/>
        </w:rPr>
        <w:t>System Controls: Bank and demat account masters at the operations and custodian level are configured to accept funds only from, and release funds only to, the client's registered accounts; deviations are blocked at source.</w:t>
      </w:r>
    </w:p>
    <w:p w14:paraId="20577147" w14:textId="77777777" w:rsidR="00B41942" w:rsidRPr="0013682A" w:rsidRDefault="00B41942">
      <w:pPr>
        <w:pStyle w:val="ListParagraph"/>
        <w:numPr>
          <w:ilvl w:val="0"/>
          <w:numId w:val="39"/>
        </w:numPr>
        <w:spacing w:before="0" w:after="80" w:line="280" w:lineRule="auto"/>
        <w:ind w:left="709"/>
        <w:jc w:val="both"/>
        <w:rPr>
          <w:rFonts w:ascii="Bookman Old Style" w:hAnsi="Bookman Old Style" w:cs="Arial"/>
        </w:rPr>
      </w:pPr>
      <w:r w:rsidRPr="0013682A">
        <w:rPr>
          <w:rFonts w:ascii="Bookman Old Style" w:hAnsi="Bookman Old Style" w:cs="Arial"/>
        </w:rPr>
        <w:t>Pre-Trade Mapping: Each transaction is tagged to the client's UCC and mapped to the registered bank/demat accounts.</w:t>
      </w:r>
    </w:p>
    <w:p w14:paraId="55A17547" w14:textId="77777777" w:rsidR="00B41942" w:rsidRPr="0013682A" w:rsidRDefault="00B41942">
      <w:pPr>
        <w:pStyle w:val="ListParagraph"/>
        <w:numPr>
          <w:ilvl w:val="0"/>
          <w:numId w:val="39"/>
        </w:numPr>
        <w:spacing w:before="0" w:after="80" w:line="280" w:lineRule="auto"/>
        <w:ind w:left="709"/>
        <w:jc w:val="both"/>
        <w:rPr>
          <w:rFonts w:ascii="Bookman Old Style" w:hAnsi="Bookman Old Style" w:cs="Arial"/>
        </w:rPr>
      </w:pPr>
      <w:r w:rsidRPr="0013682A">
        <w:rPr>
          <w:rFonts w:ascii="Bookman Old Style" w:hAnsi="Bookman Old Style" w:cs="Arial"/>
        </w:rPr>
        <w:t>Daily Reconciliation: Operations and compliance independently reconcile bank statements, custodian reports, and depository data to identify any third-party flows.</w:t>
      </w:r>
    </w:p>
    <w:p w14:paraId="2E1CFF62" w14:textId="77777777" w:rsidR="00B41942" w:rsidRPr="0013682A" w:rsidRDefault="00B41942">
      <w:pPr>
        <w:pStyle w:val="ListParagraph"/>
        <w:numPr>
          <w:ilvl w:val="0"/>
          <w:numId w:val="39"/>
        </w:numPr>
        <w:spacing w:before="0" w:after="80" w:line="280" w:lineRule="auto"/>
        <w:ind w:left="709"/>
        <w:jc w:val="both"/>
        <w:rPr>
          <w:rFonts w:ascii="Bookman Old Style" w:hAnsi="Bookman Old Style" w:cs="Arial"/>
        </w:rPr>
      </w:pPr>
      <w:r w:rsidRPr="0013682A">
        <w:rPr>
          <w:rFonts w:ascii="Bookman Old Style" w:hAnsi="Bookman Old Style" w:cs="Arial"/>
        </w:rPr>
        <w:t>Exception Handling: Any unmatched receipt is held in a suspense account, and the source is investigated; if the source cannot be conclusively established as the registered client, the funds are returned to the originating account and the matter is escalated to the Principal Officer.</w:t>
      </w:r>
    </w:p>
    <w:p w14:paraId="297E1D3B" w14:textId="77777777" w:rsidR="00B41942" w:rsidRPr="0013682A" w:rsidRDefault="00B41942">
      <w:pPr>
        <w:pStyle w:val="ListParagraph"/>
        <w:numPr>
          <w:ilvl w:val="0"/>
          <w:numId w:val="39"/>
        </w:numPr>
        <w:spacing w:before="0" w:after="80" w:line="280" w:lineRule="auto"/>
        <w:ind w:left="709"/>
        <w:jc w:val="both"/>
        <w:rPr>
          <w:rFonts w:ascii="Bookman Old Style" w:hAnsi="Bookman Old Style" w:cs="Arial"/>
        </w:rPr>
      </w:pPr>
      <w:r w:rsidRPr="0013682A">
        <w:rPr>
          <w:rFonts w:ascii="Bookman Old Style" w:hAnsi="Bookman Old Style" w:cs="Arial"/>
        </w:rPr>
        <w:t>Documentation: All exceptions, returns, and corrective actions are documented and reviewed by compliance and reported to senior management monthly.</w:t>
      </w:r>
    </w:p>
    <w:p w14:paraId="663436F9" w14:textId="62A146A0" w:rsidR="00B41942" w:rsidRPr="001F637B" w:rsidRDefault="00B41942" w:rsidP="001F637B">
      <w:pPr>
        <w:pStyle w:val="Heading1"/>
        <w:jc w:val="both"/>
        <w:rPr>
          <w:rFonts w:ascii="Bookman Old Style" w:hAnsi="Bookman Old Style" w:cs="Arial"/>
          <w:sz w:val="20"/>
          <w:szCs w:val="20"/>
        </w:rPr>
      </w:pPr>
      <w:bookmarkStart w:id="66" w:name="_Toc229150916"/>
      <w:bookmarkStart w:id="67" w:name="_Toc229159963"/>
      <w:r w:rsidRPr="001F637B">
        <w:rPr>
          <w:rFonts w:ascii="Bookman Old Style" w:hAnsi="Bookman Old Style" w:cs="Arial"/>
          <w:sz w:val="20"/>
          <w:szCs w:val="20"/>
        </w:rPr>
        <w:t>Third-Party Payments / Receipts of Funds / Securities</w:t>
      </w:r>
      <w:bookmarkEnd w:id="66"/>
      <w:bookmarkEnd w:id="67"/>
    </w:p>
    <w:p w14:paraId="7C2DE6CA" w14:textId="77777777" w:rsidR="00B41942" w:rsidRPr="0013682A" w:rsidRDefault="00B41942" w:rsidP="006A6A8B">
      <w:pPr>
        <w:spacing w:before="0" w:after="80" w:line="280" w:lineRule="auto"/>
        <w:jc w:val="both"/>
        <w:rPr>
          <w:rFonts w:ascii="Bookman Old Style" w:hAnsi="Bookman Old Style" w:cs="Arial"/>
        </w:rPr>
      </w:pPr>
      <w:bookmarkStart w:id="68" w:name="_Toc229150917"/>
      <w:r w:rsidRPr="0013682A">
        <w:rPr>
          <w:rFonts w:ascii="Bookman Old Style" w:hAnsi="Bookman Old Style" w:cs="Arial"/>
        </w:rPr>
        <w:t>Third-party payments and receipts of funds or securities are strictly prohibited. The Portfolio Manager does not accept funds or securities from, or release funds or securities to, any person other than the registered client whose details are recorded in the KYC and the executed Client Agreement. Where any such instance is nevertheless identified, the matter is escalated to senior management and the Principal Officer, and a written record is maintained capturing the following particulars:</w:t>
      </w:r>
    </w:p>
    <w:p w14:paraId="07FBC8A6" w14:textId="77777777" w:rsidR="00B41942" w:rsidRPr="0013682A" w:rsidRDefault="00B41942" w:rsidP="006A6A8B">
      <w:pPr>
        <w:spacing w:before="0" w:after="80" w:line="280" w:lineRule="auto"/>
        <w:ind w:left="284"/>
        <w:jc w:val="both"/>
        <w:rPr>
          <w:rFonts w:ascii="Bookman Old Style" w:hAnsi="Bookman Old Style" w:cs="Arial"/>
        </w:rPr>
      </w:pPr>
      <w:proofErr w:type="spellStart"/>
      <w:r w:rsidRPr="0013682A">
        <w:rPr>
          <w:rFonts w:ascii="Bookman Old Style" w:hAnsi="Bookman Old Style" w:cs="Arial"/>
        </w:rPr>
        <w:t>i</w:t>
      </w:r>
      <w:proofErr w:type="spellEnd"/>
      <w:r w:rsidRPr="0013682A">
        <w:rPr>
          <w:rFonts w:ascii="Bookman Old Style" w:hAnsi="Bookman Old Style" w:cs="Arial"/>
        </w:rPr>
        <w:t>. Name of the registered client involved.</w:t>
      </w:r>
    </w:p>
    <w:p w14:paraId="614D461E" w14:textId="77777777" w:rsidR="00B41942" w:rsidRPr="0013682A" w:rsidRDefault="00B41942" w:rsidP="006A6A8B">
      <w:pPr>
        <w:spacing w:before="0" w:after="80" w:line="280" w:lineRule="auto"/>
        <w:ind w:left="284"/>
        <w:jc w:val="both"/>
        <w:rPr>
          <w:rFonts w:ascii="Bookman Old Style" w:hAnsi="Bookman Old Style" w:cs="Arial"/>
        </w:rPr>
      </w:pPr>
      <w:r w:rsidRPr="0013682A">
        <w:rPr>
          <w:rFonts w:ascii="Bookman Old Style" w:hAnsi="Bookman Old Style" w:cs="Arial"/>
        </w:rPr>
        <w:t>ii. Name of the third party from whom or to whom the funds or securities flowed.</w:t>
      </w:r>
    </w:p>
    <w:p w14:paraId="6C87E77B" w14:textId="77777777" w:rsidR="00B41942" w:rsidRPr="0013682A" w:rsidRDefault="00B41942" w:rsidP="006A6A8B">
      <w:pPr>
        <w:spacing w:before="0" w:after="80" w:line="280" w:lineRule="auto"/>
        <w:ind w:left="284"/>
        <w:jc w:val="both"/>
        <w:rPr>
          <w:rFonts w:ascii="Bookman Old Style" w:hAnsi="Bookman Old Style" w:cs="Arial"/>
        </w:rPr>
      </w:pPr>
      <w:r w:rsidRPr="0013682A">
        <w:rPr>
          <w:rFonts w:ascii="Bookman Old Style" w:hAnsi="Bookman Old Style" w:cs="Arial"/>
        </w:rPr>
        <w:t>iii. Value involved (amount in INR, and original currency where applicable).</w:t>
      </w:r>
    </w:p>
    <w:p w14:paraId="34C839D1" w14:textId="77777777" w:rsidR="00B41942" w:rsidRPr="0013682A" w:rsidRDefault="00B41942" w:rsidP="006A6A8B">
      <w:pPr>
        <w:spacing w:before="0" w:after="80" w:line="280" w:lineRule="auto"/>
        <w:ind w:left="284"/>
        <w:jc w:val="both"/>
        <w:rPr>
          <w:rFonts w:ascii="Bookman Old Style" w:hAnsi="Bookman Old Style" w:cs="Arial"/>
        </w:rPr>
      </w:pPr>
      <w:r w:rsidRPr="0013682A">
        <w:rPr>
          <w:rFonts w:ascii="Bookman Old Style" w:hAnsi="Bookman Old Style" w:cs="Arial"/>
        </w:rPr>
        <w:t>iv. Date of receipt or payment.</w:t>
      </w:r>
    </w:p>
    <w:p w14:paraId="005EE291" w14:textId="77777777" w:rsidR="00B41942" w:rsidRPr="0013682A" w:rsidRDefault="00B41942" w:rsidP="006A6A8B">
      <w:pPr>
        <w:spacing w:before="0" w:after="80" w:line="280" w:lineRule="auto"/>
        <w:ind w:left="284"/>
        <w:jc w:val="both"/>
        <w:rPr>
          <w:rFonts w:ascii="Bookman Old Style" w:hAnsi="Bookman Old Style" w:cs="Arial"/>
        </w:rPr>
      </w:pPr>
      <w:r w:rsidRPr="0013682A">
        <w:rPr>
          <w:rFonts w:ascii="Bookman Old Style" w:hAnsi="Bookman Old Style" w:cs="Arial"/>
        </w:rPr>
        <w:t>v. Source and destination accounts (bank or demat).</w:t>
      </w:r>
    </w:p>
    <w:p w14:paraId="53268DC5" w14:textId="77777777" w:rsidR="00B41942" w:rsidRPr="0013682A" w:rsidRDefault="00B41942" w:rsidP="006A6A8B">
      <w:pPr>
        <w:spacing w:before="0" w:after="80" w:line="280" w:lineRule="auto"/>
        <w:ind w:left="284"/>
        <w:jc w:val="both"/>
        <w:rPr>
          <w:rFonts w:ascii="Bookman Old Style" w:hAnsi="Bookman Old Style" w:cs="Arial"/>
        </w:rPr>
      </w:pPr>
      <w:r w:rsidRPr="0013682A">
        <w:rPr>
          <w:rFonts w:ascii="Bookman Old Style" w:hAnsi="Bookman Old Style" w:cs="Arial"/>
        </w:rPr>
        <w:t>vi. Reason or claimed justification offered for the third-party flow.</w:t>
      </w:r>
    </w:p>
    <w:p w14:paraId="0919A825" w14:textId="136A01E5" w:rsidR="00B41942" w:rsidRPr="006A6A8B" w:rsidRDefault="00B41942">
      <w:pPr>
        <w:pStyle w:val="ListParagraph"/>
        <w:numPr>
          <w:ilvl w:val="0"/>
          <w:numId w:val="6"/>
        </w:numPr>
        <w:spacing w:before="0" w:after="80" w:line="280" w:lineRule="auto"/>
        <w:jc w:val="both"/>
        <w:rPr>
          <w:rFonts w:ascii="Bookman Old Style" w:hAnsi="Bookman Old Style" w:cs="Arial"/>
        </w:rPr>
      </w:pPr>
      <w:r w:rsidRPr="006A6A8B">
        <w:rPr>
          <w:rFonts w:ascii="Bookman Old Style" w:hAnsi="Bookman Old Style" w:cs="Arial"/>
        </w:rPr>
        <w:lastRenderedPageBreak/>
        <w:t>Action taken by the Portfolio Manager, including reversal, return to the originating account, internal escalation, and filing of a Suspicious Transaction Report where applicable.</w:t>
      </w:r>
    </w:p>
    <w:p w14:paraId="385452AF" w14:textId="77777777" w:rsidR="00B41942" w:rsidRPr="0013682A" w:rsidRDefault="00B41942" w:rsidP="006A6A8B">
      <w:pPr>
        <w:spacing w:before="0" w:after="80" w:line="280" w:lineRule="auto"/>
        <w:jc w:val="both"/>
        <w:rPr>
          <w:rFonts w:ascii="Bookman Old Style" w:hAnsi="Bookman Old Style" w:cs="Arial"/>
        </w:rPr>
      </w:pPr>
      <w:r w:rsidRPr="0013682A">
        <w:rPr>
          <w:rFonts w:ascii="Bookman Old Style" w:hAnsi="Bookman Old Style" w:cs="Arial"/>
        </w:rPr>
        <w:t>Such instances are reported to FIU-IND through the STR mechanism where they meet the suspicion threshold under Section 12 of the Prevention of Money Laundering Act, 2002.</w:t>
      </w:r>
    </w:p>
    <w:p w14:paraId="15F4C2BE" w14:textId="74DB8A07" w:rsidR="00B41942" w:rsidRPr="003178AE" w:rsidRDefault="00B41942" w:rsidP="003178AE">
      <w:pPr>
        <w:pStyle w:val="Heading1"/>
        <w:jc w:val="both"/>
        <w:rPr>
          <w:rFonts w:ascii="Bookman Old Style" w:hAnsi="Bookman Old Style" w:cs="Arial"/>
          <w:sz w:val="20"/>
          <w:szCs w:val="20"/>
        </w:rPr>
      </w:pPr>
      <w:bookmarkStart w:id="69" w:name="_Toc229159964"/>
      <w:r w:rsidRPr="003178AE">
        <w:rPr>
          <w:rFonts w:ascii="Bookman Old Style" w:hAnsi="Bookman Old Style" w:cs="Arial"/>
          <w:sz w:val="20"/>
          <w:szCs w:val="20"/>
        </w:rPr>
        <w:t>Maintenance of Books of Accounts and Records (Regulations 27 and 29)</w:t>
      </w:r>
      <w:bookmarkEnd w:id="68"/>
      <w:bookmarkEnd w:id="69"/>
    </w:p>
    <w:p w14:paraId="69DFAB38"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In compliance with Regulations 27 and 29 of the SEBI (Portfolio Managers) Regulations, 2020, the Portfolio Manager maintains:</w:t>
      </w:r>
    </w:p>
    <w:p w14:paraId="44B86606"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Copy of balance sheet, profit and loss account, and a statement of financial position at the end of each accounting period.</w:t>
      </w:r>
    </w:p>
    <w:p w14:paraId="712ED67C"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Copy of the auditor's report on the accounts.</w:t>
      </w:r>
    </w:p>
    <w:p w14:paraId="2CE738E0"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A statement of capital adequacy and net worth as required.</w:t>
      </w:r>
    </w:p>
    <w:p w14:paraId="3D7DBD85"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Particulars of transactions for each client (purchases, sales, brokerage, fees, expenses).</w:t>
      </w:r>
    </w:p>
    <w:p w14:paraId="1BDC707C"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Copies of contract notes, bills, vouchers, and supporting documents.</w:t>
      </w:r>
    </w:p>
    <w:p w14:paraId="72D3FE5D"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Originals of all communications with clients, investment decisions, research, and rationale.</w:t>
      </w:r>
    </w:p>
    <w:p w14:paraId="49D23444"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Statement of holdings and statement of fund flows for each client.</w:t>
      </w:r>
    </w:p>
    <w:p w14:paraId="202BDF8F"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Performance computation working papers and reconciliations supporting reported TWRR/XIRR.</w:t>
      </w:r>
    </w:p>
    <w:p w14:paraId="4E2C3608"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Records of compliance with regulatory limits, including derivative usage and associate/group exposure.</w:t>
      </w:r>
    </w:p>
    <w:p w14:paraId="1121BCE2" w14:textId="77777777" w:rsidR="00B41942" w:rsidRPr="0013682A" w:rsidRDefault="00B41942">
      <w:pPr>
        <w:pStyle w:val="ListParagraph"/>
        <w:numPr>
          <w:ilvl w:val="0"/>
          <w:numId w:val="40"/>
        </w:numPr>
        <w:spacing w:before="0" w:after="80" w:line="280" w:lineRule="auto"/>
        <w:ind w:left="567"/>
        <w:jc w:val="both"/>
        <w:rPr>
          <w:rFonts w:ascii="Bookman Old Style" w:hAnsi="Bookman Old Style" w:cs="Arial"/>
        </w:rPr>
      </w:pPr>
      <w:r w:rsidRPr="0013682A">
        <w:rPr>
          <w:rFonts w:ascii="Bookman Old Style" w:hAnsi="Bookman Old Style" w:cs="Arial"/>
        </w:rPr>
        <w:t>Books of account for a minimum period of five years; records under PMLA for the periods prescribed in Section 14 of this Policy.</w:t>
      </w:r>
    </w:p>
    <w:p w14:paraId="5657D3C3"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Books of accounts and records are subject to internal audit, statutory audit, and SEBI-mandated portfolio audit (where applicable). Books are made available to SEBI, exchanges, custodians, and other authorities on demand.</w:t>
      </w:r>
    </w:p>
    <w:p w14:paraId="0263B962" w14:textId="52856F56" w:rsidR="00B41942" w:rsidRPr="003178AE" w:rsidRDefault="00B41942" w:rsidP="003178AE">
      <w:pPr>
        <w:pStyle w:val="Heading1"/>
        <w:jc w:val="both"/>
        <w:rPr>
          <w:rFonts w:ascii="Bookman Old Style" w:hAnsi="Bookman Old Style" w:cs="Arial"/>
          <w:sz w:val="20"/>
          <w:szCs w:val="20"/>
        </w:rPr>
      </w:pPr>
      <w:bookmarkStart w:id="70" w:name="_Toc229150918"/>
      <w:bookmarkStart w:id="71" w:name="_Toc229159965"/>
      <w:r w:rsidRPr="003178AE">
        <w:rPr>
          <w:rFonts w:ascii="Bookman Old Style" w:hAnsi="Bookman Old Style" w:cs="Arial"/>
          <w:sz w:val="20"/>
          <w:szCs w:val="20"/>
        </w:rPr>
        <w:t>Advisory Services Provided</w:t>
      </w:r>
      <w:bookmarkEnd w:id="70"/>
      <w:bookmarkEnd w:id="71"/>
    </w:p>
    <w:p w14:paraId="46CB9A66"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Where the Portfolio Manager provides non-binding advisory services (in addition to discretionary/non-discretionary portfolio management), the following safeguards apply:</w:t>
      </w:r>
    </w:p>
    <w:p w14:paraId="0BEF24EF" w14:textId="77777777" w:rsidR="00B41942" w:rsidRPr="0013682A" w:rsidRDefault="00B41942">
      <w:pPr>
        <w:pStyle w:val="ListParagraph"/>
        <w:numPr>
          <w:ilvl w:val="0"/>
          <w:numId w:val="41"/>
        </w:numPr>
        <w:spacing w:before="0" w:after="80" w:line="280" w:lineRule="auto"/>
        <w:ind w:left="567"/>
        <w:jc w:val="both"/>
        <w:rPr>
          <w:rFonts w:ascii="Bookman Old Style" w:hAnsi="Bookman Old Style" w:cs="Arial"/>
        </w:rPr>
      </w:pPr>
      <w:r w:rsidRPr="0013682A">
        <w:rPr>
          <w:rFonts w:ascii="Bookman Old Style" w:hAnsi="Bookman Old Style" w:cs="Arial"/>
        </w:rPr>
        <w:t>Advisory mandate is documented through a separate written agreement specifying the scope, fees, and reporting deliverables.</w:t>
      </w:r>
    </w:p>
    <w:p w14:paraId="7068A230" w14:textId="77777777" w:rsidR="00B41942" w:rsidRPr="0013682A" w:rsidRDefault="00B41942">
      <w:pPr>
        <w:pStyle w:val="ListParagraph"/>
        <w:numPr>
          <w:ilvl w:val="0"/>
          <w:numId w:val="41"/>
        </w:numPr>
        <w:spacing w:before="0" w:after="80" w:line="280" w:lineRule="auto"/>
        <w:ind w:left="567"/>
        <w:jc w:val="both"/>
        <w:rPr>
          <w:rFonts w:ascii="Bookman Old Style" w:hAnsi="Bookman Old Style" w:cs="Arial"/>
        </w:rPr>
      </w:pPr>
      <w:r w:rsidRPr="0013682A">
        <w:rPr>
          <w:rFonts w:ascii="Bookman Old Style" w:hAnsi="Bookman Old Style" w:cs="Arial"/>
        </w:rPr>
        <w:t>Advisory client KYC, risk profiling, and suitability assessment are performed in line with this Policy.</w:t>
      </w:r>
    </w:p>
    <w:p w14:paraId="79230292" w14:textId="77777777" w:rsidR="00B41942" w:rsidRPr="0013682A" w:rsidRDefault="00B41942">
      <w:pPr>
        <w:pStyle w:val="ListParagraph"/>
        <w:numPr>
          <w:ilvl w:val="0"/>
          <w:numId w:val="41"/>
        </w:numPr>
        <w:spacing w:before="0" w:after="80" w:line="280" w:lineRule="auto"/>
        <w:ind w:left="567"/>
        <w:jc w:val="both"/>
        <w:rPr>
          <w:rFonts w:ascii="Bookman Old Style" w:hAnsi="Bookman Old Style" w:cs="Arial"/>
        </w:rPr>
      </w:pPr>
      <w:r w:rsidRPr="0013682A">
        <w:rPr>
          <w:rFonts w:ascii="Bookman Old Style" w:hAnsi="Bookman Old Style" w:cs="Arial"/>
        </w:rPr>
        <w:t>No discretion is exercised over advisory client funds/securities; execution and custody remain with the client.</w:t>
      </w:r>
    </w:p>
    <w:p w14:paraId="4F26940C" w14:textId="77777777" w:rsidR="00B41942" w:rsidRPr="0013682A" w:rsidRDefault="00B41942">
      <w:pPr>
        <w:pStyle w:val="ListParagraph"/>
        <w:numPr>
          <w:ilvl w:val="0"/>
          <w:numId w:val="41"/>
        </w:numPr>
        <w:spacing w:before="0" w:after="80" w:line="280" w:lineRule="auto"/>
        <w:ind w:left="567"/>
        <w:jc w:val="both"/>
        <w:rPr>
          <w:rFonts w:ascii="Bookman Old Style" w:hAnsi="Bookman Old Style" w:cs="Arial"/>
        </w:rPr>
      </w:pPr>
      <w:r w:rsidRPr="0013682A">
        <w:rPr>
          <w:rFonts w:ascii="Bookman Old Style" w:hAnsi="Bookman Old Style" w:cs="Arial"/>
        </w:rPr>
        <w:t>Records of advice rendered, supporting research, and client acknowledgment are maintained.</w:t>
      </w:r>
    </w:p>
    <w:p w14:paraId="160A77B0" w14:textId="77777777" w:rsidR="00B41942" w:rsidRPr="0013682A" w:rsidRDefault="00B41942">
      <w:pPr>
        <w:pStyle w:val="ListParagraph"/>
        <w:numPr>
          <w:ilvl w:val="0"/>
          <w:numId w:val="41"/>
        </w:numPr>
        <w:spacing w:before="0" w:after="80" w:line="280" w:lineRule="auto"/>
        <w:ind w:left="567"/>
        <w:jc w:val="both"/>
        <w:rPr>
          <w:rFonts w:ascii="Bookman Old Style" w:hAnsi="Bookman Old Style" w:cs="Arial"/>
        </w:rPr>
      </w:pPr>
      <w:r w:rsidRPr="0013682A">
        <w:rPr>
          <w:rFonts w:ascii="Bookman Old Style" w:hAnsi="Bookman Old Style" w:cs="Arial"/>
        </w:rPr>
        <w:t>Conflicts of interest between advisory and discretionary/non-discretionary clients are managed in accordance with Section 36.</w:t>
      </w:r>
    </w:p>
    <w:p w14:paraId="2A9E60EC" w14:textId="1B601792" w:rsidR="00B41942" w:rsidRPr="003178AE" w:rsidRDefault="00B41942" w:rsidP="003178AE">
      <w:pPr>
        <w:pStyle w:val="Heading1"/>
        <w:jc w:val="both"/>
        <w:rPr>
          <w:rFonts w:ascii="Bookman Old Style" w:hAnsi="Bookman Old Style" w:cs="Arial"/>
          <w:sz w:val="20"/>
          <w:szCs w:val="20"/>
        </w:rPr>
      </w:pPr>
      <w:bookmarkStart w:id="72" w:name="_Toc229150919"/>
      <w:bookmarkStart w:id="73" w:name="_Toc229159966"/>
      <w:r w:rsidRPr="003178AE">
        <w:rPr>
          <w:rFonts w:ascii="Bookman Old Style" w:hAnsi="Bookman Old Style" w:cs="Arial"/>
          <w:sz w:val="20"/>
          <w:szCs w:val="20"/>
        </w:rPr>
        <w:t>Conflict of Interest</w:t>
      </w:r>
      <w:bookmarkEnd w:id="72"/>
      <w:bookmarkEnd w:id="73"/>
    </w:p>
    <w:p w14:paraId="18F90A3D"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The Portfolio Manager identifies, monitors, and manages conflicts of interest through the following measures:</w:t>
      </w:r>
    </w:p>
    <w:p w14:paraId="250A8B19"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lastRenderedPageBreak/>
        <w:t xml:space="preserve">Maintenance of a </w:t>
      </w:r>
      <w:proofErr w:type="gramStart"/>
      <w:r w:rsidRPr="0013682A">
        <w:rPr>
          <w:rFonts w:ascii="Bookman Old Style" w:hAnsi="Bookman Old Style" w:cs="Arial"/>
        </w:rPr>
        <w:t>Conflict of Interest</w:t>
      </w:r>
      <w:proofErr w:type="gramEnd"/>
      <w:r w:rsidRPr="0013682A">
        <w:rPr>
          <w:rFonts w:ascii="Bookman Old Style" w:hAnsi="Bookman Old Style" w:cs="Arial"/>
        </w:rPr>
        <w:t xml:space="preserve"> Register documenting potential and actual conflicts (e.g., proprietary trading, related-party transactions, distributor arrangements, employee personal trading).</w:t>
      </w:r>
    </w:p>
    <w:p w14:paraId="2086F5C2"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Restriction on personal trading by directors, employees, and connected persons through a written Code of Conduct, including pre-clearance, blackout periods, and minimum holding periods.</w:t>
      </w:r>
    </w:p>
    <w:p w14:paraId="748EC560"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Order allocation policy ensuring fair and equitable allocation of investment opportunities across clients with similar mandates.</w:t>
      </w:r>
    </w:p>
    <w:p w14:paraId="2436F308"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Restriction on associate/group entity transactions to the regulatory cap, with prior written client consent and disclosure in periodic reports.</w:t>
      </w:r>
    </w:p>
    <w:p w14:paraId="6B1636D2"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Investment Committee approval for related-party transactions and any potential conflict-laden trades.</w:t>
      </w:r>
    </w:p>
    <w:p w14:paraId="4E4209FA"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Disclosure to clients of any direct or indirect material relationship the Portfolio Manager or its associates have with the issuer of securities being recommended/transacted.</w:t>
      </w:r>
    </w:p>
    <w:p w14:paraId="5685A70B" w14:textId="77777777" w:rsidR="00B41942" w:rsidRPr="0013682A" w:rsidRDefault="00B41942">
      <w:pPr>
        <w:pStyle w:val="ListParagraph"/>
        <w:numPr>
          <w:ilvl w:val="0"/>
          <w:numId w:val="42"/>
        </w:numPr>
        <w:spacing w:before="0" w:after="80" w:line="280" w:lineRule="auto"/>
        <w:ind w:left="567"/>
        <w:jc w:val="both"/>
        <w:rPr>
          <w:rFonts w:ascii="Bookman Old Style" w:hAnsi="Bookman Old Style" w:cs="Arial"/>
        </w:rPr>
      </w:pPr>
      <w:r w:rsidRPr="0013682A">
        <w:rPr>
          <w:rFonts w:ascii="Bookman Old Style" w:hAnsi="Bookman Old Style" w:cs="Arial"/>
        </w:rPr>
        <w:t xml:space="preserve">Annual review of the </w:t>
      </w:r>
      <w:proofErr w:type="gramStart"/>
      <w:r w:rsidRPr="0013682A">
        <w:rPr>
          <w:rFonts w:ascii="Bookman Old Style" w:hAnsi="Bookman Old Style" w:cs="Arial"/>
        </w:rPr>
        <w:t>Conflict of Interest</w:t>
      </w:r>
      <w:proofErr w:type="gramEnd"/>
      <w:r w:rsidRPr="0013682A">
        <w:rPr>
          <w:rFonts w:ascii="Bookman Old Style" w:hAnsi="Bookman Old Style" w:cs="Arial"/>
        </w:rPr>
        <w:t xml:space="preserve"> Policy by the Board.</w:t>
      </w:r>
    </w:p>
    <w:p w14:paraId="60662810" w14:textId="0EF6A133" w:rsidR="00B41942" w:rsidRPr="003178AE" w:rsidRDefault="00B41942" w:rsidP="003178AE">
      <w:pPr>
        <w:pStyle w:val="Heading1"/>
        <w:jc w:val="both"/>
        <w:rPr>
          <w:rFonts w:ascii="Bookman Old Style" w:hAnsi="Bookman Old Style" w:cs="Arial"/>
          <w:sz w:val="20"/>
          <w:szCs w:val="20"/>
        </w:rPr>
      </w:pPr>
      <w:bookmarkStart w:id="74" w:name="_Toc229150920"/>
      <w:bookmarkStart w:id="75" w:name="_Toc229159967"/>
      <w:r w:rsidRPr="003178AE">
        <w:rPr>
          <w:rFonts w:ascii="Bookman Old Style" w:hAnsi="Bookman Old Style" w:cs="Arial"/>
          <w:sz w:val="20"/>
          <w:szCs w:val="20"/>
        </w:rPr>
        <w:t>Know Your Client (KYC) Procedure</w:t>
      </w:r>
      <w:bookmarkEnd w:id="74"/>
      <w:bookmarkEnd w:id="75"/>
    </w:p>
    <w:p w14:paraId="4A1BCA33"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KYC procedures are governed by the SEBI (KYC Registration Agency) Regulations, 2011, the SEBI Master Circular on KYC, the PMLA, and PML Rules. The KYC procedure encompasses:</w:t>
      </w:r>
    </w:p>
    <w:p w14:paraId="2728DEF2"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Collection of KYC documents (PAN, address proof, photograph, bank/demat proof, FATCA/CRS, beneficial ownership for non-individuals).</w:t>
      </w:r>
    </w:p>
    <w:p w14:paraId="65FDAA47"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Validation of PAN with the Income Tax Database and address with the issuing authority.</w:t>
      </w:r>
    </w:p>
    <w:p w14:paraId="4F7A40C1"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In Person Verification (IPV) — physical or video-based — recorded with date, time, place, and verifier details. Names of clients for whom IPV could not be performed are recorded along with reasons and remediation; no transactions are processed in such cases.</w:t>
      </w:r>
    </w:p>
    <w:p w14:paraId="20131996"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Upload of KYC to the KRA and CKYCR; download and use of validated KRA records for already KYC-compliant clients with delta verification.</w:t>
      </w:r>
    </w:p>
    <w:p w14:paraId="17C9516F"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Periodic re-KYC at intervals specified in Section 6.7, with material updates (address, contact, beneficial ownership) refreshed promptly on intimation.</w:t>
      </w:r>
    </w:p>
    <w:p w14:paraId="2145BCCF"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Maintenance of KYC records for the periods specified under PMLA and SEBI.</w:t>
      </w:r>
    </w:p>
    <w:p w14:paraId="0B690E7E" w14:textId="77777777" w:rsidR="00B41942" w:rsidRPr="0013682A" w:rsidRDefault="00B41942">
      <w:pPr>
        <w:pStyle w:val="ListParagraph"/>
        <w:numPr>
          <w:ilvl w:val="0"/>
          <w:numId w:val="43"/>
        </w:numPr>
        <w:spacing w:before="0" w:after="80" w:line="280" w:lineRule="auto"/>
        <w:ind w:left="567" w:hanging="425"/>
        <w:jc w:val="both"/>
        <w:rPr>
          <w:rFonts w:ascii="Bookman Old Style" w:hAnsi="Bookman Old Style" w:cs="Arial"/>
        </w:rPr>
      </w:pPr>
      <w:r w:rsidRPr="0013682A">
        <w:rPr>
          <w:rFonts w:ascii="Bookman Old Style" w:hAnsi="Bookman Old Style" w:cs="Arial"/>
        </w:rPr>
        <w:t>Names of clients for whom KYC has not been maintained or completed are recorded; no business is undertaken with such clients until full KYC is in place.</w:t>
      </w:r>
    </w:p>
    <w:p w14:paraId="585DC194" w14:textId="4BA205B5" w:rsidR="00B41942" w:rsidRPr="00A02D7B" w:rsidRDefault="00B41942" w:rsidP="00A02D7B">
      <w:pPr>
        <w:pStyle w:val="Heading1"/>
        <w:jc w:val="both"/>
        <w:rPr>
          <w:rFonts w:ascii="Bookman Old Style" w:hAnsi="Bookman Old Style" w:cs="Arial"/>
          <w:sz w:val="20"/>
          <w:szCs w:val="20"/>
        </w:rPr>
      </w:pPr>
      <w:bookmarkStart w:id="76" w:name="_Toc229150921"/>
      <w:bookmarkStart w:id="77" w:name="_Toc229159968"/>
      <w:r w:rsidRPr="00A02D7B">
        <w:rPr>
          <w:rFonts w:ascii="Bookman Old Style" w:hAnsi="Bookman Old Style" w:cs="Arial"/>
          <w:sz w:val="20"/>
          <w:szCs w:val="20"/>
        </w:rPr>
        <w:t>Segregation of Portfolio Management Services from Other Activities</w:t>
      </w:r>
      <w:bookmarkEnd w:id="76"/>
      <w:bookmarkEnd w:id="77"/>
    </w:p>
    <w:p w14:paraId="1FD82163"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Where the Portfolio Manager carries on activities other than portfolio management (e.g., investment advisory, research analyst, distribution), the following segregation measures apply in line with SEBI requirements:</w:t>
      </w:r>
    </w:p>
    <w:p w14:paraId="4185858B"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t>Separate Books of Account: PMS books, records, and bank accounts are maintained separately from other regulated activities.</w:t>
      </w:r>
    </w:p>
    <w:p w14:paraId="3A60F046"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t>Segregated Personnel and Reporting: Key personnel and decision-makers in PMS do not participate in conflicting decisions in other regulated activities; reporting lines are separated where required.</w:t>
      </w:r>
    </w:p>
    <w:p w14:paraId="33EE91E9"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t>Information Barriers (Chinese Wall): Physical and electronic information barriers are maintained between activities to prevent leakage of price-sensitive or client-specific information.</w:t>
      </w:r>
    </w:p>
    <w:p w14:paraId="6260615F"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lastRenderedPageBreak/>
        <w:t>Disclosure of Activities: All regulated activities are disclosed to clients in the Disclosure Document, agreement, and Conflict of Interest Register.</w:t>
      </w:r>
    </w:p>
    <w:p w14:paraId="26846F87"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t>Compliance Oversight: A single Compliance Officer / Principal Officer oversees PMLA and KYC across activities, with separate compliance officers for each activity where mandated.</w:t>
      </w:r>
    </w:p>
    <w:p w14:paraId="41B744BE" w14:textId="77777777" w:rsidR="00B41942" w:rsidRPr="0013682A" w:rsidRDefault="00B41942">
      <w:pPr>
        <w:pStyle w:val="ListParagraph"/>
        <w:numPr>
          <w:ilvl w:val="0"/>
          <w:numId w:val="44"/>
        </w:numPr>
        <w:spacing w:before="0" w:after="80" w:line="280" w:lineRule="auto"/>
        <w:ind w:left="567"/>
        <w:jc w:val="both"/>
        <w:rPr>
          <w:rFonts w:ascii="Bookman Old Style" w:hAnsi="Bookman Old Style" w:cs="Arial"/>
        </w:rPr>
      </w:pPr>
      <w:r w:rsidRPr="0013682A">
        <w:rPr>
          <w:rFonts w:ascii="Bookman Old Style" w:hAnsi="Bookman Old Style" w:cs="Arial"/>
        </w:rPr>
        <w:t>Audit: Each regulated activity is independently audited as required, and the segregation is specifically tested by the internal auditor.</w:t>
      </w:r>
    </w:p>
    <w:p w14:paraId="2ED4F76E" w14:textId="31D4E439" w:rsidR="00B41942" w:rsidRPr="00912782" w:rsidRDefault="00B41942" w:rsidP="00912782">
      <w:pPr>
        <w:pStyle w:val="Heading1"/>
        <w:jc w:val="both"/>
        <w:rPr>
          <w:rFonts w:ascii="Bookman Old Style" w:hAnsi="Bookman Old Style" w:cs="Arial"/>
          <w:sz w:val="20"/>
          <w:szCs w:val="20"/>
        </w:rPr>
      </w:pPr>
      <w:bookmarkStart w:id="78" w:name="_Toc229150922"/>
      <w:bookmarkStart w:id="79" w:name="_Toc229159969"/>
      <w:r w:rsidRPr="00912782">
        <w:rPr>
          <w:rFonts w:ascii="Bookman Old Style" w:hAnsi="Bookman Old Style" w:cs="Arial"/>
          <w:sz w:val="20"/>
          <w:szCs w:val="20"/>
        </w:rPr>
        <w:t>Dealings of Associates as Clients</w:t>
      </w:r>
      <w:bookmarkEnd w:id="78"/>
      <w:bookmarkEnd w:id="79"/>
    </w:p>
    <w:p w14:paraId="3B24F899" w14:textId="77777777" w:rsidR="00B41942" w:rsidRPr="001F637B" w:rsidRDefault="00B41942" w:rsidP="00B41942">
      <w:pPr>
        <w:spacing w:after="120" w:line="280" w:lineRule="auto"/>
        <w:jc w:val="both"/>
        <w:rPr>
          <w:rFonts w:ascii="Bookman Old Style" w:hAnsi="Bookman Old Style" w:cs="Arial"/>
        </w:rPr>
      </w:pPr>
      <w:r w:rsidRPr="001F637B">
        <w:rPr>
          <w:rFonts w:ascii="Bookman Old Style" w:hAnsi="Bookman Old Style" w:cs="Arial"/>
        </w:rPr>
        <w:t>Associates of the Portfolio Manager (including directors, employees, group entities, and related parties) may invest as clients only subject to:</w:t>
      </w:r>
    </w:p>
    <w:p w14:paraId="1461E3EB" w14:textId="77777777" w:rsidR="00B41942" w:rsidRPr="0013682A" w:rsidRDefault="00B41942">
      <w:pPr>
        <w:pStyle w:val="ListParagraph"/>
        <w:numPr>
          <w:ilvl w:val="0"/>
          <w:numId w:val="45"/>
        </w:numPr>
        <w:spacing w:before="0" w:after="80" w:line="280" w:lineRule="auto"/>
        <w:ind w:left="567"/>
        <w:jc w:val="both"/>
        <w:rPr>
          <w:rFonts w:ascii="Bookman Old Style" w:hAnsi="Bookman Old Style" w:cs="Arial"/>
        </w:rPr>
      </w:pPr>
      <w:r w:rsidRPr="0013682A">
        <w:rPr>
          <w:rFonts w:ascii="Bookman Old Style" w:hAnsi="Bookman Old Style" w:cs="Arial"/>
        </w:rPr>
        <w:t>Full compliance with KYC, risk profiling, agreement execution, and onboarding procedures applicable to all clients.</w:t>
      </w:r>
    </w:p>
    <w:p w14:paraId="0A717C26" w14:textId="77777777" w:rsidR="00B41942" w:rsidRPr="0013682A" w:rsidRDefault="00B41942">
      <w:pPr>
        <w:pStyle w:val="ListParagraph"/>
        <w:numPr>
          <w:ilvl w:val="0"/>
          <w:numId w:val="45"/>
        </w:numPr>
        <w:spacing w:before="0" w:after="80" w:line="280" w:lineRule="auto"/>
        <w:ind w:left="567"/>
        <w:jc w:val="both"/>
        <w:rPr>
          <w:rFonts w:ascii="Bookman Old Style" w:hAnsi="Bookman Old Style" w:cs="Arial"/>
        </w:rPr>
      </w:pPr>
      <w:r w:rsidRPr="0013682A">
        <w:rPr>
          <w:rFonts w:ascii="Bookman Old Style" w:hAnsi="Bookman Old Style" w:cs="Arial"/>
        </w:rPr>
        <w:t xml:space="preserve">Disclosure of the relationship in the </w:t>
      </w:r>
      <w:proofErr w:type="gramStart"/>
      <w:r w:rsidRPr="0013682A">
        <w:rPr>
          <w:rFonts w:ascii="Bookman Old Style" w:hAnsi="Bookman Old Style" w:cs="Arial"/>
        </w:rPr>
        <w:t>Conflict of Interest</w:t>
      </w:r>
      <w:proofErr w:type="gramEnd"/>
      <w:r w:rsidRPr="0013682A">
        <w:rPr>
          <w:rFonts w:ascii="Bookman Old Style" w:hAnsi="Bookman Old Style" w:cs="Arial"/>
        </w:rPr>
        <w:t xml:space="preserve"> Register and in client communications where required.</w:t>
      </w:r>
    </w:p>
    <w:p w14:paraId="3EB4861C" w14:textId="77777777" w:rsidR="00B41942" w:rsidRPr="0013682A" w:rsidRDefault="00B41942">
      <w:pPr>
        <w:pStyle w:val="ListParagraph"/>
        <w:numPr>
          <w:ilvl w:val="0"/>
          <w:numId w:val="45"/>
        </w:numPr>
        <w:spacing w:before="0" w:after="80" w:line="280" w:lineRule="auto"/>
        <w:ind w:left="567"/>
        <w:jc w:val="both"/>
        <w:rPr>
          <w:rFonts w:ascii="Bookman Old Style" w:hAnsi="Bookman Old Style" w:cs="Arial"/>
        </w:rPr>
      </w:pPr>
      <w:r w:rsidRPr="0013682A">
        <w:rPr>
          <w:rFonts w:ascii="Bookman Old Style" w:hAnsi="Bookman Old Style" w:cs="Arial"/>
        </w:rPr>
        <w:t>Application of the SEBI prescribed cap on investments in associate/group entities; prior written client consent for any such investment in non-associate clients' portfolios.</w:t>
      </w:r>
    </w:p>
    <w:p w14:paraId="2E89C4E0" w14:textId="77777777" w:rsidR="00B41942" w:rsidRPr="0013682A" w:rsidRDefault="00B41942">
      <w:pPr>
        <w:pStyle w:val="ListParagraph"/>
        <w:numPr>
          <w:ilvl w:val="0"/>
          <w:numId w:val="45"/>
        </w:numPr>
        <w:spacing w:before="0" w:after="80" w:line="280" w:lineRule="auto"/>
        <w:ind w:left="567"/>
        <w:jc w:val="both"/>
        <w:rPr>
          <w:rFonts w:ascii="Bookman Old Style" w:hAnsi="Bookman Old Style" w:cs="Arial"/>
        </w:rPr>
      </w:pPr>
      <w:r w:rsidRPr="0013682A">
        <w:rPr>
          <w:rFonts w:ascii="Bookman Old Style" w:hAnsi="Bookman Old Style" w:cs="Arial"/>
        </w:rPr>
        <w:t>Order allocation in accordance with the Order Allocation Policy, with documentary evidence that associate clients are not preferred over non-associate clients.</w:t>
      </w:r>
    </w:p>
    <w:p w14:paraId="7652A402" w14:textId="77777777" w:rsidR="00B41942" w:rsidRPr="0013682A" w:rsidRDefault="00B41942">
      <w:pPr>
        <w:pStyle w:val="ListParagraph"/>
        <w:numPr>
          <w:ilvl w:val="0"/>
          <w:numId w:val="45"/>
        </w:numPr>
        <w:spacing w:before="0" w:after="80" w:line="280" w:lineRule="auto"/>
        <w:ind w:left="567"/>
        <w:jc w:val="both"/>
        <w:rPr>
          <w:rFonts w:ascii="Bookman Old Style" w:hAnsi="Bookman Old Style" w:cs="Arial"/>
        </w:rPr>
      </w:pPr>
      <w:r w:rsidRPr="0013682A">
        <w:rPr>
          <w:rFonts w:ascii="Bookman Old Style" w:hAnsi="Bookman Old Style" w:cs="Arial"/>
        </w:rPr>
        <w:t>Quarterly review by Compliance and reporting to the Board of all transactions involving associates as clients.</w:t>
      </w:r>
    </w:p>
    <w:p w14:paraId="5B6ACA60" w14:textId="0AB1ADD3" w:rsidR="00B41942" w:rsidRPr="00912782" w:rsidRDefault="00B41942" w:rsidP="00912782">
      <w:pPr>
        <w:pStyle w:val="Heading1"/>
        <w:jc w:val="both"/>
        <w:rPr>
          <w:rFonts w:ascii="Bookman Old Style" w:hAnsi="Bookman Old Style" w:cs="Arial"/>
          <w:sz w:val="20"/>
          <w:szCs w:val="20"/>
        </w:rPr>
      </w:pPr>
      <w:bookmarkStart w:id="80" w:name="_Toc229150923"/>
      <w:bookmarkStart w:id="81" w:name="_Toc229159970"/>
      <w:r w:rsidRPr="00912782">
        <w:rPr>
          <w:rFonts w:ascii="Bookman Old Style" w:hAnsi="Bookman Old Style" w:cs="Arial"/>
          <w:sz w:val="20"/>
          <w:szCs w:val="20"/>
        </w:rPr>
        <w:t>Approval by the Board / Equivalent Body</w:t>
      </w:r>
      <w:bookmarkEnd w:id="80"/>
      <w:bookmarkEnd w:id="81"/>
    </w:p>
    <w:p w14:paraId="539C1C64" w14:textId="4E737623" w:rsidR="00B41942" w:rsidRPr="00564EA0" w:rsidRDefault="00B41942" w:rsidP="00564EA0">
      <w:pPr>
        <w:spacing w:after="120" w:line="280" w:lineRule="auto"/>
        <w:jc w:val="both"/>
        <w:rPr>
          <w:rFonts w:ascii="Bookman Old Style" w:hAnsi="Bookman Old Style" w:cs="Arial"/>
        </w:rPr>
      </w:pPr>
      <w:r w:rsidRPr="001F637B">
        <w:rPr>
          <w:rFonts w:ascii="Bookman Old Style" w:hAnsi="Bookman Old Style" w:cs="Arial"/>
        </w:rPr>
        <w:t>This composite Policy, including all Parts and operational procedures, has been approved by the Board of Directors / equivalent governing body of the Portfolio Manager. The certified copy of the Resolution / Minutes is appended to this Policy and made available on demand. The Policy is reviewed annually, and on every material regulatory change, by the Board.</w:t>
      </w:r>
    </w:p>
    <w:p w14:paraId="393D5C9B" w14:textId="77777777" w:rsidR="0075550A" w:rsidRPr="009609FA" w:rsidRDefault="0075550A" w:rsidP="00FC23D3">
      <w:pPr>
        <w:jc w:val="both"/>
        <w:rPr>
          <w:rFonts w:ascii="Bookman Old Style" w:hAnsi="Bookman Old Style" w:cs="Arial"/>
        </w:rPr>
      </w:pPr>
    </w:p>
    <w:sectPr w:rsidR="0075550A" w:rsidRPr="009609FA" w:rsidSect="00716DB0">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C45A" w14:textId="77777777" w:rsidR="005A74B5" w:rsidRDefault="005A74B5" w:rsidP="004D4141">
      <w:pPr>
        <w:spacing w:before="0" w:after="0" w:line="240" w:lineRule="auto"/>
      </w:pPr>
      <w:r>
        <w:separator/>
      </w:r>
    </w:p>
  </w:endnote>
  <w:endnote w:type="continuationSeparator" w:id="0">
    <w:p w14:paraId="30AC49C8" w14:textId="77777777" w:rsidR="005A74B5" w:rsidRDefault="005A74B5" w:rsidP="004D41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237911"/>
      <w:docPartObj>
        <w:docPartGallery w:val="Page Numbers (Bottom of Page)"/>
        <w:docPartUnique/>
      </w:docPartObj>
    </w:sdtPr>
    <w:sdtEndPr>
      <w:rPr>
        <w:b/>
        <w:bCs/>
        <w:noProof/>
        <w:color w:val="156082" w:themeColor="accent1"/>
      </w:rPr>
    </w:sdtEndPr>
    <w:sdtContent>
      <w:p w14:paraId="2DF987DF" w14:textId="58E986F7" w:rsidR="004D4141" w:rsidRPr="004D4141" w:rsidRDefault="004D4141">
        <w:pPr>
          <w:pStyle w:val="Footer"/>
          <w:jc w:val="center"/>
          <w:rPr>
            <w:b/>
            <w:bCs/>
            <w:color w:val="156082" w:themeColor="accent1"/>
          </w:rPr>
        </w:pPr>
        <w:r w:rsidRPr="004D4141">
          <w:rPr>
            <w:b/>
            <w:bCs/>
            <w:color w:val="156082" w:themeColor="accent1"/>
          </w:rPr>
          <w:fldChar w:fldCharType="begin"/>
        </w:r>
        <w:r w:rsidRPr="004D4141">
          <w:rPr>
            <w:b/>
            <w:bCs/>
            <w:color w:val="156082" w:themeColor="accent1"/>
          </w:rPr>
          <w:instrText xml:space="preserve"> PAGE   \* MERGEFORMAT </w:instrText>
        </w:r>
        <w:r w:rsidRPr="004D4141">
          <w:rPr>
            <w:b/>
            <w:bCs/>
            <w:color w:val="156082" w:themeColor="accent1"/>
          </w:rPr>
          <w:fldChar w:fldCharType="separate"/>
        </w:r>
        <w:r w:rsidRPr="004D4141">
          <w:rPr>
            <w:b/>
            <w:bCs/>
            <w:noProof/>
            <w:color w:val="156082" w:themeColor="accent1"/>
          </w:rPr>
          <w:t>2</w:t>
        </w:r>
        <w:r w:rsidRPr="004D4141">
          <w:rPr>
            <w:b/>
            <w:bCs/>
            <w:noProof/>
            <w:color w:val="156082" w:themeColor="accent1"/>
          </w:rPr>
          <w:fldChar w:fldCharType="end"/>
        </w:r>
      </w:p>
    </w:sdtContent>
  </w:sdt>
  <w:p w14:paraId="5F8C4820" w14:textId="77777777" w:rsidR="005A4DBB" w:rsidRPr="004D4141" w:rsidRDefault="005A4DBB" w:rsidP="00F779CA">
    <w:pPr>
      <w:pStyle w:val="Footer"/>
      <w:tabs>
        <w:tab w:val="clear" w:pos="4680"/>
        <w:tab w:val="clear" w:pos="9360"/>
        <w:tab w:val="left" w:pos="975"/>
      </w:tabs>
      <w:rPr>
        <w:b/>
        <w:bCs/>
        <w:color w:val="156082"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8BB2" w14:textId="77777777" w:rsidR="005A74B5" w:rsidRDefault="005A74B5" w:rsidP="004D4141">
      <w:pPr>
        <w:spacing w:before="0" w:after="0" w:line="240" w:lineRule="auto"/>
      </w:pPr>
      <w:r>
        <w:separator/>
      </w:r>
    </w:p>
  </w:footnote>
  <w:footnote w:type="continuationSeparator" w:id="0">
    <w:p w14:paraId="1B21889C" w14:textId="77777777" w:rsidR="005A74B5" w:rsidRDefault="005A74B5" w:rsidP="004D41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BF42" w14:textId="4F2D9C68" w:rsidR="00A66416" w:rsidRDefault="00A66416">
    <w:pPr>
      <w:pStyle w:val="Header"/>
    </w:pPr>
  </w:p>
  <w:p w14:paraId="70728BA3" w14:textId="2D93C060" w:rsidR="009E43E0" w:rsidRDefault="009E43E0" w:rsidP="009E43E0">
    <w:pPr>
      <w:pStyle w:val="Header"/>
      <w:tabs>
        <w:tab w:val="clear" w:pos="4680"/>
        <w:tab w:val="clear" w:pos="9360"/>
        <w:tab w:val="left" w:pos="7145"/>
      </w:tabs>
    </w:pPr>
    <w:r>
      <w:tab/>
    </w:r>
  </w:p>
  <w:p w14:paraId="61031FAB" w14:textId="77777777" w:rsidR="00810505" w:rsidRDefault="00810505" w:rsidP="009E43E0">
    <w:pPr>
      <w:pStyle w:val="Header"/>
      <w:tabs>
        <w:tab w:val="clear" w:pos="4680"/>
        <w:tab w:val="clear" w:pos="9360"/>
        <w:tab w:val="left" w:pos="71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BA57" w14:textId="77777777" w:rsidR="005A4DBB" w:rsidRDefault="005A4DBB">
    <w:pPr>
      <w:pStyle w:val="Header"/>
    </w:pPr>
  </w:p>
  <w:p w14:paraId="3872839B" w14:textId="77777777" w:rsidR="005A4DBB" w:rsidRDefault="005A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EA"/>
    <w:multiLevelType w:val="hybridMultilevel"/>
    <w:tmpl w:val="FF5E70F6"/>
    <w:lvl w:ilvl="0" w:tplc="4009000F">
      <w:start w:val="1"/>
      <w:numFmt w:val="decimal"/>
      <w:lvlText w:val="%1."/>
      <w:lvlJc w:val="left"/>
      <w:pPr>
        <w:ind w:left="720" w:hanging="360"/>
      </w:pPr>
    </w:lvl>
    <w:lvl w:ilvl="1" w:tplc="D534B2D4">
      <w:numFmt w:val="decimal"/>
      <w:lvlText w:val=""/>
      <w:lvlJc w:val="left"/>
    </w:lvl>
    <w:lvl w:ilvl="2" w:tplc="E64C895E">
      <w:numFmt w:val="decimal"/>
      <w:lvlText w:val=""/>
      <w:lvlJc w:val="left"/>
    </w:lvl>
    <w:lvl w:ilvl="3" w:tplc="62BADCD6">
      <w:numFmt w:val="decimal"/>
      <w:lvlText w:val=""/>
      <w:lvlJc w:val="left"/>
    </w:lvl>
    <w:lvl w:ilvl="4" w:tplc="A270271E">
      <w:numFmt w:val="decimal"/>
      <w:lvlText w:val=""/>
      <w:lvlJc w:val="left"/>
    </w:lvl>
    <w:lvl w:ilvl="5" w:tplc="12BE440A">
      <w:numFmt w:val="decimal"/>
      <w:lvlText w:val=""/>
      <w:lvlJc w:val="left"/>
    </w:lvl>
    <w:lvl w:ilvl="6" w:tplc="C2282DD8">
      <w:numFmt w:val="decimal"/>
      <w:lvlText w:val=""/>
      <w:lvlJc w:val="left"/>
    </w:lvl>
    <w:lvl w:ilvl="7" w:tplc="2BCCA6FA">
      <w:numFmt w:val="decimal"/>
      <w:lvlText w:val=""/>
      <w:lvlJc w:val="left"/>
    </w:lvl>
    <w:lvl w:ilvl="8" w:tplc="5ADE5D22">
      <w:numFmt w:val="decimal"/>
      <w:lvlText w:val=""/>
      <w:lvlJc w:val="left"/>
    </w:lvl>
  </w:abstractNum>
  <w:abstractNum w:abstractNumId="1" w15:restartNumberingAfterBreak="0">
    <w:nsid w:val="01EC70CA"/>
    <w:multiLevelType w:val="hybridMultilevel"/>
    <w:tmpl w:val="A1B2A0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2437251"/>
    <w:multiLevelType w:val="multilevel"/>
    <w:tmpl w:val="AB4A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234"/>
    <w:multiLevelType w:val="hybridMultilevel"/>
    <w:tmpl w:val="195A08D4"/>
    <w:lvl w:ilvl="0" w:tplc="6066BAE0">
      <w:start w:val="1"/>
      <w:numFmt w:val="lowerRoman"/>
      <w:suff w:val="space"/>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E882950"/>
    <w:multiLevelType w:val="hybridMultilevel"/>
    <w:tmpl w:val="57363844"/>
    <w:lvl w:ilvl="0" w:tplc="DA1C02D2">
      <w:start w:val="1"/>
      <w:numFmt w:val="lowerRoman"/>
      <w:suff w:val="space"/>
      <w:lvlText w:val="%1."/>
      <w:lvlJc w:val="right"/>
      <w:pPr>
        <w:ind w:left="720" w:hanging="360"/>
      </w:pPr>
      <w:rPr>
        <w:rFonts w:hint="default"/>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 w15:restartNumberingAfterBreak="0">
    <w:nsid w:val="147D254C"/>
    <w:multiLevelType w:val="multilevel"/>
    <w:tmpl w:val="2A32146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15:restartNumberingAfterBreak="0">
    <w:nsid w:val="191B614C"/>
    <w:multiLevelType w:val="multilevel"/>
    <w:tmpl w:val="AF6E8FB4"/>
    <w:lvl w:ilvl="0">
      <w:start w:val="1"/>
      <w:numFmt w:val="lowerRoman"/>
      <w:suff w:val="space"/>
      <w:lvlText w:val="%1."/>
      <w:lvlJc w:val="right"/>
      <w:pPr>
        <w:ind w:left="810" w:hanging="360"/>
      </w:pPr>
      <w:rPr>
        <w:rFonts w:hint="default"/>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7" w15:restartNumberingAfterBreak="0">
    <w:nsid w:val="1EAA19C6"/>
    <w:multiLevelType w:val="hybridMultilevel"/>
    <w:tmpl w:val="CD8639C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18405CF"/>
    <w:multiLevelType w:val="hybridMultilevel"/>
    <w:tmpl w:val="E72620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E1C04564">
      <w:start w:val="1"/>
      <w:numFmt w:val="lowerLetter"/>
      <w:suff w:val="space"/>
      <w:lvlText w:val="%5."/>
      <w:lvlJc w:val="left"/>
      <w:pPr>
        <w:ind w:left="72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3E37ED"/>
    <w:multiLevelType w:val="multilevel"/>
    <w:tmpl w:val="6C5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20265"/>
    <w:multiLevelType w:val="hybridMultilevel"/>
    <w:tmpl w:val="21C4C4E6"/>
    <w:lvl w:ilvl="0" w:tplc="0B8A31A4">
      <w:start w:val="4"/>
      <w:numFmt w:val="lowerRoman"/>
      <w:suff w:val="space"/>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E42E13"/>
    <w:multiLevelType w:val="multilevel"/>
    <w:tmpl w:val="AFF00DCC"/>
    <w:lvl w:ilvl="0">
      <w:start w:val="1"/>
      <w:numFmt w:val="decimal"/>
      <w:lvlText w:val="%1."/>
      <w:lvlJc w:val="left"/>
      <w:pPr>
        <w:tabs>
          <w:tab w:val="num" w:pos="450"/>
        </w:tabs>
        <w:ind w:left="450" w:hanging="360"/>
      </w:pPr>
    </w:lvl>
    <w:lvl w:ilvl="1">
      <w:start w:val="1"/>
      <w:numFmt w:val="bullet"/>
      <w:lvlText w:val="o"/>
      <w:lvlJc w:val="left"/>
      <w:pPr>
        <w:tabs>
          <w:tab w:val="num" w:pos="810"/>
        </w:tabs>
        <w:ind w:left="81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2" w15:restartNumberingAfterBreak="0">
    <w:nsid w:val="2DB3711E"/>
    <w:multiLevelType w:val="hybridMultilevel"/>
    <w:tmpl w:val="DE4EDF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E051FD5"/>
    <w:multiLevelType w:val="multilevel"/>
    <w:tmpl w:val="C8B0B026"/>
    <w:lvl w:ilvl="0">
      <w:start w:val="1"/>
      <w:numFmt w:val="decimal"/>
      <w:suff w:val="space"/>
      <w:lvlText w:val="%1."/>
      <w:lvlJc w:val="right"/>
      <w:pPr>
        <w:ind w:left="72" w:firstLine="0"/>
      </w:pPr>
      <w:rPr>
        <w:rFonts w:hint="default"/>
      </w:rPr>
    </w:lvl>
    <w:lvl w:ilvl="1">
      <w:start w:val="1"/>
      <w:numFmt w:val="bullet"/>
      <w:lvlText w:val="o"/>
      <w:lvlJc w:val="left"/>
      <w:pPr>
        <w:tabs>
          <w:tab w:val="num" w:pos="990"/>
        </w:tabs>
        <w:ind w:left="990" w:hanging="360"/>
      </w:pPr>
      <w:rPr>
        <w:rFonts w:ascii="Courier New" w:hAnsi="Courier New" w:hint="default"/>
        <w:sz w:val="20"/>
      </w:rPr>
    </w:lvl>
    <w:lvl w:ilvl="2">
      <w:start w:val="1"/>
      <w:numFmt w:val="decimal"/>
      <w:lvlText w:val="%3."/>
      <w:lvlJc w:val="left"/>
      <w:pPr>
        <w:tabs>
          <w:tab w:val="num" w:pos="1512"/>
        </w:tabs>
        <w:ind w:left="1512" w:hanging="360"/>
      </w:pPr>
      <w:rPr>
        <w:rFonts w:hint="default"/>
      </w:rPr>
    </w:lvl>
    <w:lvl w:ilvl="3">
      <w:start w:val="1"/>
      <w:numFmt w:val="decimal"/>
      <w:lvlText w:val="%4."/>
      <w:lvlJc w:val="left"/>
      <w:pPr>
        <w:tabs>
          <w:tab w:val="num" w:pos="2232"/>
        </w:tabs>
        <w:ind w:left="2232" w:hanging="360"/>
      </w:pPr>
      <w:rPr>
        <w:rFonts w:hint="default"/>
      </w:rPr>
    </w:lvl>
    <w:lvl w:ilvl="4">
      <w:start w:val="1"/>
      <w:numFmt w:val="decimal"/>
      <w:lvlText w:val="%5."/>
      <w:lvlJc w:val="left"/>
      <w:pPr>
        <w:tabs>
          <w:tab w:val="num" w:pos="2952"/>
        </w:tabs>
        <w:ind w:left="2952" w:hanging="360"/>
      </w:pPr>
      <w:rPr>
        <w:rFonts w:hint="default"/>
      </w:rPr>
    </w:lvl>
    <w:lvl w:ilvl="5">
      <w:start w:val="1"/>
      <w:numFmt w:val="decimal"/>
      <w:lvlText w:val="%6."/>
      <w:lvlJc w:val="left"/>
      <w:pPr>
        <w:tabs>
          <w:tab w:val="num" w:pos="3672"/>
        </w:tabs>
        <w:ind w:left="3672" w:hanging="360"/>
      </w:pPr>
      <w:rPr>
        <w:rFonts w:hint="default"/>
      </w:rPr>
    </w:lvl>
    <w:lvl w:ilvl="6">
      <w:start w:val="1"/>
      <w:numFmt w:val="decimal"/>
      <w:lvlText w:val="%7."/>
      <w:lvlJc w:val="left"/>
      <w:pPr>
        <w:tabs>
          <w:tab w:val="num" w:pos="4392"/>
        </w:tabs>
        <w:ind w:left="4392" w:hanging="360"/>
      </w:pPr>
      <w:rPr>
        <w:rFonts w:hint="default"/>
      </w:rPr>
    </w:lvl>
    <w:lvl w:ilvl="7">
      <w:start w:val="1"/>
      <w:numFmt w:val="decimal"/>
      <w:lvlText w:val="%8."/>
      <w:lvlJc w:val="left"/>
      <w:pPr>
        <w:tabs>
          <w:tab w:val="num" w:pos="5112"/>
        </w:tabs>
        <w:ind w:left="5112" w:hanging="360"/>
      </w:pPr>
      <w:rPr>
        <w:rFonts w:hint="default"/>
      </w:rPr>
    </w:lvl>
    <w:lvl w:ilvl="8">
      <w:start w:val="1"/>
      <w:numFmt w:val="decimal"/>
      <w:lvlText w:val="%9."/>
      <w:lvlJc w:val="left"/>
      <w:pPr>
        <w:tabs>
          <w:tab w:val="num" w:pos="5832"/>
        </w:tabs>
        <w:ind w:left="5832" w:hanging="360"/>
      </w:pPr>
      <w:rPr>
        <w:rFonts w:hint="default"/>
      </w:rPr>
    </w:lvl>
  </w:abstractNum>
  <w:abstractNum w:abstractNumId="14" w15:restartNumberingAfterBreak="0">
    <w:nsid w:val="2F5F0583"/>
    <w:multiLevelType w:val="hybridMultilevel"/>
    <w:tmpl w:val="40AA271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0A67DBB"/>
    <w:multiLevelType w:val="multilevel"/>
    <w:tmpl w:val="C8B0B026"/>
    <w:lvl w:ilvl="0">
      <w:start w:val="1"/>
      <w:numFmt w:val="decimal"/>
      <w:suff w:val="space"/>
      <w:lvlText w:val="%1."/>
      <w:lvlJc w:val="right"/>
      <w:pPr>
        <w:ind w:left="72" w:firstLine="0"/>
      </w:pPr>
      <w:rPr>
        <w:rFonts w:hint="default"/>
      </w:rPr>
    </w:lvl>
    <w:lvl w:ilvl="1">
      <w:start w:val="1"/>
      <w:numFmt w:val="bullet"/>
      <w:lvlText w:val="o"/>
      <w:lvlJc w:val="left"/>
      <w:pPr>
        <w:tabs>
          <w:tab w:val="num" w:pos="792"/>
        </w:tabs>
        <w:ind w:left="792" w:hanging="360"/>
      </w:pPr>
      <w:rPr>
        <w:rFonts w:ascii="Courier New" w:hAnsi="Courier New" w:hint="default"/>
        <w:sz w:val="20"/>
      </w:rPr>
    </w:lvl>
    <w:lvl w:ilvl="2">
      <w:start w:val="1"/>
      <w:numFmt w:val="decimal"/>
      <w:lvlText w:val="%3."/>
      <w:lvlJc w:val="left"/>
      <w:pPr>
        <w:tabs>
          <w:tab w:val="num" w:pos="1512"/>
        </w:tabs>
        <w:ind w:left="1512" w:hanging="360"/>
      </w:pPr>
      <w:rPr>
        <w:rFonts w:hint="default"/>
      </w:rPr>
    </w:lvl>
    <w:lvl w:ilvl="3">
      <w:start w:val="1"/>
      <w:numFmt w:val="decimal"/>
      <w:lvlText w:val="%4."/>
      <w:lvlJc w:val="left"/>
      <w:pPr>
        <w:tabs>
          <w:tab w:val="num" w:pos="2232"/>
        </w:tabs>
        <w:ind w:left="2232" w:hanging="360"/>
      </w:pPr>
      <w:rPr>
        <w:rFonts w:hint="default"/>
      </w:rPr>
    </w:lvl>
    <w:lvl w:ilvl="4">
      <w:start w:val="1"/>
      <w:numFmt w:val="decimal"/>
      <w:lvlText w:val="%5."/>
      <w:lvlJc w:val="left"/>
      <w:pPr>
        <w:tabs>
          <w:tab w:val="num" w:pos="2952"/>
        </w:tabs>
        <w:ind w:left="2952" w:hanging="360"/>
      </w:pPr>
      <w:rPr>
        <w:rFonts w:hint="default"/>
      </w:rPr>
    </w:lvl>
    <w:lvl w:ilvl="5">
      <w:start w:val="1"/>
      <w:numFmt w:val="decimal"/>
      <w:lvlText w:val="%6."/>
      <w:lvlJc w:val="left"/>
      <w:pPr>
        <w:tabs>
          <w:tab w:val="num" w:pos="3672"/>
        </w:tabs>
        <w:ind w:left="3672" w:hanging="360"/>
      </w:pPr>
      <w:rPr>
        <w:rFonts w:hint="default"/>
      </w:rPr>
    </w:lvl>
    <w:lvl w:ilvl="6">
      <w:start w:val="1"/>
      <w:numFmt w:val="decimal"/>
      <w:lvlText w:val="%7."/>
      <w:lvlJc w:val="left"/>
      <w:pPr>
        <w:tabs>
          <w:tab w:val="num" w:pos="4392"/>
        </w:tabs>
        <w:ind w:left="4392" w:hanging="360"/>
      </w:pPr>
      <w:rPr>
        <w:rFonts w:hint="default"/>
      </w:rPr>
    </w:lvl>
    <w:lvl w:ilvl="7">
      <w:start w:val="1"/>
      <w:numFmt w:val="decimal"/>
      <w:lvlText w:val="%8."/>
      <w:lvlJc w:val="left"/>
      <w:pPr>
        <w:tabs>
          <w:tab w:val="num" w:pos="5112"/>
        </w:tabs>
        <w:ind w:left="5112" w:hanging="360"/>
      </w:pPr>
      <w:rPr>
        <w:rFonts w:hint="default"/>
      </w:rPr>
    </w:lvl>
    <w:lvl w:ilvl="8">
      <w:start w:val="1"/>
      <w:numFmt w:val="decimal"/>
      <w:lvlText w:val="%9."/>
      <w:lvlJc w:val="left"/>
      <w:pPr>
        <w:tabs>
          <w:tab w:val="num" w:pos="5832"/>
        </w:tabs>
        <w:ind w:left="5832" w:hanging="360"/>
      </w:pPr>
      <w:rPr>
        <w:rFonts w:hint="default"/>
      </w:rPr>
    </w:lvl>
  </w:abstractNum>
  <w:abstractNum w:abstractNumId="16" w15:restartNumberingAfterBreak="0">
    <w:nsid w:val="35D73045"/>
    <w:multiLevelType w:val="multilevel"/>
    <w:tmpl w:val="03A6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D4E49"/>
    <w:multiLevelType w:val="hybridMultilevel"/>
    <w:tmpl w:val="2D32341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F3B0684"/>
    <w:multiLevelType w:val="hybridMultilevel"/>
    <w:tmpl w:val="A53A478A"/>
    <w:lvl w:ilvl="0" w:tplc="FFFFFFFF">
      <w:start w:val="1"/>
      <w:numFmt w:val="lowerRoman"/>
      <w:lvlText w:val="%1."/>
      <w:lvlJc w:val="right"/>
      <w:pPr>
        <w:ind w:left="720" w:hanging="360"/>
      </w:pPr>
    </w:lvl>
    <w:lvl w:ilvl="1" w:tplc="4009001B">
      <w:start w:val="1"/>
      <w:numFmt w:val="lowerRoman"/>
      <w:lvlText w:val="%2."/>
      <w:lvlJc w:val="right"/>
      <w:pPr>
        <w:ind w:left="12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7770F9"/>
    <w:multiLevelType w:val="hybridMultilevel"/>
    <w:tmpl w:val="A822A5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40444255"/>
    <w:multiLevelType w:val="hybridMultilevel"/>
    <w:tmpl w:val="E1A4FF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4C07CF"/>
    <w:multiLevelType w:val="hybridMultilevel"/>
    <w:tmpl w:val="10422308"/>
    <w:lvl w:ilvl="0" w:tplc="31C49AC4">
      <w:start w:val="1"/>
      <w:numFmt w:val="lowerRoman"/>
      <w:suff w:val="space"/>
      <w:lvlText w:val="%1."/>
      <w:lvlJc w:val="righ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144A98"/>
    <w:multiLevelType w:val="multilevel"/>
    <w:tmpl w:val="CF6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47B99"/>
    <w:multiLevelType w:val="hybridMultilevel"/>
    <w:tmpl w:val="9DEAAFAC"/>
    <w:lvl w:ilvl="0" w:tplc="FFFFFFFF">
      <w:start w:val="1"/>
      <w:numFmt w:val="lowerRoman"/>
      <w:lvlText w:val="%1."/>
      <w:lvlJc w:val="left"/>
      <w:pPr>
        <w:ind w:left="1567" w:hanging="360"/>
      </w:pPr>
    </w:lvl>
    <w:lvl w:ilvl="1" w:tplc="0409001B">
      <w:start w:val="1"/>
      <w:numFmt w:val="lowerRoman"/>
      <w:lvlText w:val="%2."/>
      <w:lvlJc w:val="right"/>
      <w:pPr>
        <w:ind w:left="720" w:hanging="360"/>
      </w:pPr>
    </w:lvl>
    <w:lvl w:ilvl="2" w:tplc="FFFFFFFF">
      <w:start w:val="1"/>
      <w:numFmt w:val="lowerLetter"/>
      <w:lvlText w:val="%3)"/>
      <w:lvlJc w:val="left"/>
      <w:pPr>
        <w:ind w:left="121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144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02029CE"/>
    <w:multiLevelType w:val="multilevel"/>
    <w:tmpl w:val="DADC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67129"/>
    <w:multiLevelType w:val="multilevel"/>
    <w:tmpl w:val="E566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B4843"/>
    <w:multiLevelType w:val="hybridMultilevel"/>
    <w:tmpl w:val="F7F8ADF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562D4212"/>
    <w:multiLevelType w:val="hybridMultilevel"/>
    <w:tmpl w:val="FC12FC1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605"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424FDA"/>
    <w:multiLevelType w:val="multilevel"/>
    <w:tmpl w:val="86027EB4"/>
    <w:lvl w:ilvl="0">
      <w:start w:val="1"/>
      <w:numFmt w:val="decimal"/>
      <w:suff w:val="space"/>
      <w:lvlText w:val="%1."/>
      <w:lvlJc w:val="right"/>
      <w:pPr>
        <w:ind w:left="90" w:firstLine="0"/>
      </w:pPr>
      <w:rPr>
        <w:rFonts w:hint="default"/>
      </w:rPr>
    </w:lvl>
    <w:lvl w:ilvl="1">
      <w:start w:val="1"/>
      <w:numFmt w:val="bullet"/>
      <w:lvlText w:val="o"/>
      <w:lvlJc w:val="left"/>
      <w:pPr>
        <w:tabs>
          <w:tab w:val="num" w:pos="1260"/>
        </w:tabs>
        <w:ind w:left="1260" w:hanging="360"/>
      </w:pPr>
      <w:rPr>
        <w:rFonts w:ascii="Courier New" w:hAnsi="Courier New" w:hint="default"/>
        <w:sz w:val="20"/>
      </w:rPr>
    </w:lvl>
    <w:lvl w:ilvl="2">
      <w:start w:val="1"/>
      <w:numFmt w:val="lowerRoman"/>
      <w:suff w:val="space"/>
      <w:lvlText w:val="%3."/>
      <w:lvlJc w:val="left"/>
      <w:pPr>
        <w:ind w:left="2088" w:hanging="504"/>
      </w:pPr>
      <w:rPr>
        <w:rFonts w:hint="default"/>
        <w:b/>
      </w:rPr>
    </w:lvl>
    <w:lvl w:ilvl="3">
      <w:start w:val="1"/>
      <w:numFmt w:val="decimal"/>
      <w:lvlText w:val="%4."/>
      <w:lvlJc w:val="left"/>
      <w:pPr>
        <w:tabs>
          <w:tab w:val="num" w:pos="2610"/>
        </w:tabs>
        <w:ind w:left="2610" w:hanging="360"/>
      </w:pPr>
      <w:rPr>
        <w:rFonts w:hint="default"/>
      </w:rPr>
    </w:lvl>
    <w:lvl w:ilvl="4">
      <w:start w:val="1"/>
      <w:numFmt w:val="decimal"/>
      <w:lvlText w:val="%5."/>
      <w:lvlJc w:val="left"/>
      <w:pPr>
        <w:tabs>
          <w:tab w:val="num" w:pos="3330"/>
        </w:tabs>
        <w:ind w:left="3330" w:hanging="360"/>
      </w:pPr>
      <w:rPr>
        <w:rFonts w:hint="default"/>
      </w:rPr>
    </w:lvl>
    <w:lvl w:ilvl="5">
      <w:start w:val="1"/>
      <w:numFmt w:val="decimal"/>
      <w:lvlText w:val="%6."/>
      <w:lvlJc w:val="left"/>
      <w:pPr>
        <w:tabs>
          <w:tab w:val="num" w:pos="4050"/>
        </w:tabs>
        <w:ind w:left="4050" w:hanging="360"/>
      </w:pPr>
      <w:rPr>
        <w:rFonts w:hint="default"/>
      </w:rPr>
    </w:lvl>
    <w:lvl w:ilvl="6">
      <w:start w:val="1"/>
      <w:numFmt w:val="decimal"/>
      <w:lvlText w:val="%7."/>
      <w:lvlJc w:val="left"/>
      <w:pPr>
        <w:tabs>
          <w:tab w:val="num" w:pos="4770"/>
        </w:tabs>
        <w:ind w:left="4770" w:hanging="360"/>
      </w:pPr>
      <w:rPr>
        <w:rFonts w:hint="default"/>
      </w:rPr>
    </w:lvl>
    <w:lvl w:ilvl="7">
      <w:start w:val="1"/>
      <w:numFmt w:val="decimal"/>
      <w:lvlText w:val="%8."/>
      <w:lvlJc w:val="left"/>
      <w:pPr>
        <w:tabs>
          <w:tab w:val="num" w:pos="5490"/>
        </w:tabs>
        <w:ind w:left="5490" w:hanging="360"/>
      </w:pPr>
      <w:rPr>
        <w:rFonts w:hint="default"/>
      </w:rPr>
    </w:lvl>
    <w:lvl w:ilvl="8">
      <w:start w:val="1"/>
      <w:numFmt w:val="decimal"/>
      <w:lvlText w:val="%9."/>
      <w:lvlJc w:val="left"/>
      <w:pPr>
        <w:tabs>
          <w:tab w:val="num" w:pos="6210"/>
        </w:tabs>
        <w:ind w:left="6210" w:hanging="360"/>
      </w:pPr>
      <w:rPr>
        <w:rFonts w:hint="default"/>
      </w:rPr>
    </w:lvl>
  </w:abstractNum>
  <w:abstractNum w:abstractNumId="29" w15:restartNumberingAfterBreak="0">
    <w:nsid w:val="5C3765BD"/>
    <w:multiLevelType w:val="hybridMultilevel"/>
    <w:tmpl w:val="B9C8A1A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EEE1DA9"/>
    <w:multiLevelType w:val="hybridMultilevel"/>
    <w:tmpl w:val="16947FF4"/>
    <w:lvl w:ilvl="0" w:tplc="10783624">
      <w:start w:val="1"/>
      <w:numFmt w:val="decimal"/>
      <w:lvlText w:val="%1."/>
      <w:lvlJc w:val="left"/>
      <w:pPr>
        <w:ind w:left="720" w:hanging="360"/>
      </w:pPr>
    </w:lvl>
    <w:lvl w:ilvl="1" w:tplc="89ACF6F0">
      <w:numFmt w:val="decimal"/>
      <w:lvlText w:val=""/>
      <w:lvlJc w:val="left"/>
    </w:lvl>
    <w:lvl w:ilvl="2" w:tplc="06A40C16">
      <w:numFmt w:val="decimal"/>
      <w:lvlText w:val=""/>
      <w:lvlJc w:val="left"/>
    </w:lvl>
    <w:lvl w:ilvl="3" w:tplc="F43C6322">
      <w:numFmt w:val="decimal"/>
      <w:lvlText w:val=""/>
      <w:lvlJc w:val="left"/>
    </w:lvl>
    <w:lvl w:ilvl="4" w:tplc="7D0EED16">
      <w:numFmt w:val="decimal"/>
      <w:lvlText w:val=""/>
      <w:lvlJc w:val="left"/>
    </w:lvl>
    <w:lvl w:ilvl="5" w:tplc="FC12C868">
      <w:numFmt w:val="decimal"/>
      <w:lvlText w:val=""/>
      <w:lvlJc w:val="left"/>
    </w:lvl>
    <w:lvl w:ilvl="6" w:tplc="E3082C08">
      <w:numFmt w:val="decimal"/>
      <w:lvlText w:val=""/>
      <w:lvlJc w:val="left"/>
    </w:lvl>
    <w:lvl w:ilvl="7" w:tplc="98323358">
      <w:numFmt w:val="decimal"/>
      <w:lvlText w:val=""/>
      <w:lvlJc w:val="left"/>
    </w:lvl>
    <w:lvl w:ilvl="8" w:tplc="03844532">
      <w:numFmt w:val="decimal"/>
      <w:lvlText w:val=""/>
      <w:lvlJc w:val="left"/>
    </w:lvl>
  </w:abstractNum>
  <w:abstractNum w:abstractNumId="31" w15:restartNumberingAfterBreak="0">
    <w:nsid w:val="5F226791"/>
    <w:multiLevelType w:val="multilevel"/>
    <w:tmpl w:val="D95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6656"/>
    <w:multiLevelType w:val="hybridMultilevel"/>
    <w:tmpl w:val="58226C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6022550E"/>
    <w:multiLevelType w:val="hybridMultilevel"/>
    <w:tmpl w:val="5802DF3A"/>
    <w:lvl w:ilvl="0" w:tplc="40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C517E3"/>
    <w:multiLevelType w:val="hybridMultilevel"/>
    <w:tmpl w:val="40DE06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65BF1C7B"/>
    <w:multiLevelType w:val="hybridMultilevel"/>
    <w:tmpl w:val="972C1D5E"/>
    <w:lvl w:ilvl="0" w:tplc="C4CE930A">
      <w:start w:val="1"/>
      <w:numFmt w:val="lowerRoman"/>
      <w:suff w:val="space"/>
      <w:lvlText w:val="%1."/>
      <w:lvlJc w:val="righ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6092AA4"/>
    <w:multiLevelType w:val="multilevel"/>
    <w:tmpl w:val="AEEC45A0"/>
    <w:lvl w:ilvl="0">
      <w:start w:val="1"/>
      <w:numFmt w:val="lowerRoman"/>
      <w:suff w:val="space"/>
      <w:lvlText w:val="%1."/>
      <w:lvlJc w:val="right"/>
      <w:pPr>
        <w:ind w:left="536" w:firstLine="4"/>
      </w:pPr>
      <w:rPr>
        <w:rFonts w:hint="default"/>
      </w:rPr>
    </w:lvl>
    <w:lvl w:ilvl="1">
      <w:start w:val="1"/>
      <w:numFmt w:val="bullet"/>
      <w:lvlText w:val="o"/>
      <w:lvlJc w:val="left"/>
      <w:pPr>
        <w:tabs>
          <w:tab w:val="num" w:pos="1332"/>
        </w:tabs>
        <w:ind w:left="1332" w:hanging="360"/>
      </w:pPr>
      <w:rPr>
        <w:rFonts w:ascii="Courier New" w:hAnsi="Courier New" w:hint="default"/>
        <w:sz w:val="20"/>
      </w:rPr>
    </w:lvl>
    <w:lvl w:ilvl="2">
      <w:start w:val="1"/>
      <w:numFmt w:val="lowerRoman"/>
      <w:suff w:val="space"/>
      <w:lvlText w:val="%3."/>
      <w:lvlJc w:val="left"/>
      <w:pPr>
        <w:ind w:left="1170" w:hanging="720"/>
      </w:pPr>
      <w:rPr>
        <w:rFonts w:hint="default"/>
        <w:b w:val="0"/>
        <w:bCs/>
      </w:rPr>
    </w:lvl>
    <w:lvl w:ilvl="3">
      <w:start w:val="1"/>
      <w:numFmt w:val="decimal"/>
      <w:lvlText w:val="%4."/>
      <w:lvlJc w:val="left"/>
      <w:pPr>
        <w:tabs>
          <w:tab w:val="num" w:pos="2772"/>
        </w:tabs>
        <w:ind w:left="2772" w:hanging="360"/>
      </w:pPr>
      <w:rPr>
        <w:rFonts w:hint="default"/>
      </w:rPr>
    </w:lvl>
    <w:lvl w:ilvl="4">
      <w:start w:val="1"/>
      <w:numFmt w:val="decimal"/>
      <w:lvlText w:val="%5."/>
      <w:lvlJc w:val="left"/>
      <w:pPr>
        <w:tabs>
          <w:tab w:val="num" w:pos="3492"/>
        </w:tabs>
        <w:ind w:left="3492" w:hanging="360"/>
      </w:pPr>
      <w:rPr>
        <w:rFonts w:hint="default"/>
      </w:rPr>
    </w:lvl>
    <w:lvl w:ilvl="5">
      <w:start w:val="1"/>
      <w:numFmt w:val="decimal"/>
      <w:lvlText w:val="%6."/>
      <w:lvlJc w:val="left"/>
      <w:pPr>
        <w:tabs>
          <w:tab w:val="num" w:pos="4212"/>
        </w:tabs>
        <w:ind w:left="4212" w:hanging="360"/>
      </w:pPr>
      <w:rPr>
        <w:rFonts w:hint="default"/>
      </w:rPr>
    </w:lvl>
    <w:lvl w:ilvl="6">
      <w:start w:val="1"/>
      <w:numFmt w:val="decimal"/>
      <w:lvlText w:val="%7."/>
      <w:lvlJc w:val="left"/>
      <w:pPr>
        <w:tabs>
          <w:tab w:val="num" w:pos="4932"/>
        </w:tabs>
        <w:ind w:left="4932" w:hanging="360"/>
      </w:pPr>
      <w:rPr>
        <w:rFonts w:hint="default"/>
      </w:rPr>
    </w:lvl>
    <w:lvl w:ilvl="7">
      <w:start w:val="1"/>
      <w:numFmt w:val="decimal"/>
      <w:lvlText w:val="%8."/>
      <w:lvlJc w:val="left"/>
      <w:pPr>
        <w:tabs>
          <w:tab w:val="num" w:pos="5652"/>
        </w:tabs>
        <w:ind w:left="5652" w:hanging="360"/>
      </w:pPr>
      <w:rPr>
        <w:rFonts w:hint="default"/>
      </w:rPr>
    </w:lvl>
    <w:lvl w:ilvl="8">
      <w:start w:val="1"/>
      <w:numFmt w:val="decimal"/>
      <w:lvlText w:val="%9."/>
      <w:lvlJc w:val="left"/>
      <w:pPr>
        <w:tabs>
          <w:tab w:val="num" w:pos="6372"/>
        </w:tabs>
        <w:ind w:left="6372" w:hanging="360"/>
      </w:pPr>
      <w:rPr>
        <w:rFonts w:hint="default"/>
      </w:rPr>
    </w:lvl>
  </w:abstractNum>
  <w:abstractNum w:abstractNumId="37" w15:restartNumberingAfterBreak="0">
    <w:nsid w:val="6CB77513"/>
    <w:multiLevelType w:val="hybridMultilevel"/>
    <w:tmpl w:val="6AA2457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6D371F87"/>
    <w:multiLevelType w:val="multilevel"/>
    <w:tmpl w:val="909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D4437"/>
    <w:multiLevelType w:val="hybridMultilevel"/>
    <w:tmpl w:val="4A889E0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BF5BAA"/>
    <w:multiLevelType w:val="hybridMultilevel"/>
    <w:tmpl w:val="C89699A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4D01C38"/>
    <w:multiLevelType w:val="multilevel"/>
    <w:tmpl w:val="997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42E2E"/>
    <w:multiLevelType w:val="hybridMultilevel"/>
    <w:tmpl w:val="C2166A5E"/>
    <w:lvl w:ilvl="0" w:tplc="47C4AA7C">
      <w:start w:val="7"/>
      <w:numFmt w:val="lowerRoman"/>
      <w:suff w:val="space"/>
      <w:lvlText w:val="%1."/>
      <w:lvlJc w:val="righ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3" w15:restartNumberingAfterBreak="0">
    <w:nsid w:val="7BBE6B7A"/>
    <w:multiLevelType w:val="hybridMultilevel"/>
    <w:tmpl w:val="665659EA"/>
    <w:lvl w:ilvl="0" w:tplc="284E9B50">
      <w:start w:val="1"/>
      <w:numFmt w:val="lowerRoman"/>
      <w:suff w:val="space"/>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8134768">
    <w:abstractNumId w:val="11"/>
  </w:num>
  <w:num w:numId="2" w16cid:durableId="25646447">
    <w:abstractNumId w:val="5"/>
  </w:num>
  <w:num w:numId="3" w16cid:durableId="1960260968">
    <w:abstractNumId w:val="43"/>
  </w:num>
  <w:num w:numId="4" w16cid:durableId="1954441645">
    <w:abstractNumId w:val="39"/>
  </w:num>
  <w:num w:numId="5" w16cid:durableId="1962417312">
    <w:abstractNumId w:val="28"/>
  </w:num>
  <w:num w:numId="6" w16cid:durableId="2106656982">
    <w:abstractNumId w:val="36"/>
  </w:num>
  <w:num w:numId="7" w16cid:durableId="418061617">
    <w:abstractNumId w:val="13"/>
  </w:num>
  <w:num w:numId="8" w16cid:durableId="1238591531">
    <w:abstractNumId w:val="3"/>
  </w:num>
  <w:num w:numId="9" w16cid:durableId="984898807">
    <w:abstractNumId w:val="22"/>
  </w:num>
  <w:num w:numId="10" w16cid:durableId="1771854995">
    <w:abstractNumId w:val="16"/>
  </w:num>
  <w:num w:numId="11" w16cid:durableId="806047073">
    <w:abstractNumId w:val="24"/>
  </w:num>
  <w:num w:numId="12" w16cid:durableId="1724787844">
    <w:abstractNumId w:val="25"/>
  </w:num>
  <w:num w:numId="13" w16cid:durableId="1480078301">
    <w:abstractNumId w:val="2"/>
  </w:num>
  <w:num w:numId="14" w16cid:durableId="1956060881">
    <w:abstractNumId w:val="38"/>
  </w:num>
  <w:num w:numId="15" w16cid:durableId="227813723">
    <w:abstractNumId w:val="15"/>
  </w:num>
  <w:num w:numId="16" w16cid:durableId="47145798">
    <w:abstractNumId w:val="23"/>
  </w:num>
  <w:num w:numId="17" w16cid:durableId="1121728800">
    <w:abstractNumId w:val="35"/>
  </w:num>
  <w:num w:numId="18" w16cid:durableId="1909801691">
    <w:abstractNumId w:val="6"/>
  </w:num>
  <w:num w:numId="19" w16cid:durableId="513884802">
    <w:abstractNumId w:val="10"/>
  </w:num>
  <w:num w:numId="20" w16cid:durableId="1896312375">
    <w:abstractNumId w:val="42"/>
  </w:num>
  <w:num w:numId="21" w16cid:durableId="724449963">
    <w:abstractNumId w:val="9"/>
  </w:num>
  <w:num w:numId="22" w16cid:durableId="2080900076">
    <w:abstractNumId w:val="28"/>
    <w:lvlOverride w:ilvl="0">
      <w:lvl w:ilvl="0">
        <w:start w:val="1"/>
        <w:numFmt w:val="decimal"/>
        <w:suff w:val="space"/>
        <w:lvlText w:val="%1."/>
        <w:lvlJc w:val="right"/>
        <w:pPr>
          <w:ind w:left="90" w:firstLine="0"/>
        </w:pPr>
        <w:rPr>
          <w:rFonts w:hint="default"/>
        </w:rPr>
      </w:lvl>
    </w:lvlOverride>
    <w:lvlOverride w:ilvl="1">
      <w:lvl w:ilvl="1">
        <w:start w:val="1"/>
        <w:numFmt w:val="bullet"/>
        <w:lvlText w:val="o"/>
        <w:lvlJc w:val="left"/>
        <w:pPr>
          <w:tabs>
            <w:tab w:val="num" w:pos="1260"/>
          </w:tabs>
          <w:ind w:left="1260" w:hanging="360"/>
        </w:pPr>
        <w:rPr>
          <w:rFonts w:ascii="Courier New" w:hAnsi="Courier New" w:hint="default"/>
          <w:sz w:val="20"/>
        </w:rPr>
      </w:lvl>
    </w:lvlOverride>
    <w:lvlOverride w:ilvl="2">
      <w:lvl w:ilvl="2">
        <w:start w:val="1"/>
        <w:numFmt w:val="lowerRoman"/>
        <w:suff w:val="space"/>
        <w:lvlText w:val="%3."/>
        <w:lvlJc w:val="right"/>
        <w:pPr>
          <w:ind w:left="360" w:firstLine="0"/>
        </w:pPr>
        <w:rPr>
          <w:rFonts w:hint="default"/>
          <w:b w:val="0"/>
          <w:bCs/>
        </w:rPr>
      </w:lvl>
    </w:lvlOverride>
    <w:lvlOverride w:ilvl="3">
      <w:lvl w:ilvl="3">
        <w:start w:val="1"/>
        <w:numFmt w:val="decimal"/>
        <w:lvlText w:val="%4."/>
        <w:lvlJc w:val="left"/>
        <w:pPr>
          <w:tabs>
            <w:tab w:val="num" w:pos="2610"/>
          </w:tabs>
          <w:ind w:left="2610" w:hanging="360"/>
        </w:pPr>
        <w:rPr>
          <w:rFonts w:hint="default"/>
        </w:rPr>
      </w:lvl>
    </w:lvlOverride>
    <w:lvlOverride w:ilvl="4">
      <w:lvl w:ilvl="4">
        <w:start w:val="1"/>
        <w:numFmt w:val="decimal"/>
        <w:lvlText w:val="%5."/>
        <w:lvlJc w:val="left"/>
        <w:pPr>
          <w:tabs>
            <w:tab w:val="num" w:pos="3330"/>
          </w:tabs>
          <w:ind w:left="3330" w:hanging="360"/>
        </w:pPr>
        <w:rPr>
          <w:rFonts w:hint="default"/>
        </w:rPr>
      </w:lvl>
    </w:lvlOverride>
    <w:lvlOverride w:ilvl="5">
      <w:lvl w:ilvl="5">
        <w:start w:val="1"/>
        <w:numFmt w:val="decimal"/>
        <w:lvlText w:val="%6."/>
        <w:lvlJc w:val="left"/>
        <w:pPr>
          <w:tabs>
            <w:tab w:val="num" w:pos="4050"/>
          </w:tabs>
          <w:ind w:left="4050" w:hanging="360"/>
        </w:pPr>
        <w:rPr>
          <w:rFonts w:hint="default"/>
        </w:rPr>
      </w:lvl>
    </w:lvlOverride>
    <w:lvlOverride w:ilvl="6">
      <w:lvl w:ilvl="6">
        <w:start w:val="1"/>
        <w:numFmt w:val="decimal"/>
        <w:lvlText w:val="%7."/>
        <w:lvlJc w:val="left"/>
        <w:pPr>
          <w:tabs>
            <w:tab w:val="num" w:pos="4770"/>
          </w:tabs>
          <w:ind w:left="4770" w:hanging="360"/>
        </w:pPr>
        <w:rPr>
          <w:rFonts w:hint="default"/>
        </w:rPr>
      </w:lvl>
    </w:lvlOverride>
    <w:lvlOverride w:ilvl="7">
      <w:lvl w:ilvl="7">
        <w:start w:val="1"/>
        <w:numFmt w:val="decimal"/>
        <w:lvlText w:val="%8."/>
        <w:lvlJc w:val="left"/>
        <w:pPr>
          <w:tabs>
            <w:tab w:val="num" w:pos="5490"/>
          </w:tabs>
          <w:ind w:left="5490" w:hanging="360"/>
        </w:pPr>
        <w:rPr>
          <w:rFonts w:hint="default"/>
        </w:rPr>
      </w:lvl>
    </w:lvlOverride>
    <w:lvlOverride w:ilvl="8">
      <w:lvl w:ilvl="8">
        <w:start w:val="1"/>
        <w:numFmt w:val="decimal"/>
        <w:lvlText w:val="%9."/>
        <w:lvlJc w:val="left"/>
        <w:pPr>
          <w:tabs>
            <w:tab w:val="num" w:pos="6210"/>
          </w:tabs>
          <w:ind w:left="6210" w:hanging="360"/>
        </w:pPr>
        <w:rPr>
          <w:rFonts w:hint="default"/>
        </w:rPr>
      </w:lvl>
    </w:lvlOverride>
  </w:num>
  <w:num w:numId="23" w16cid:durableId="715398244">
    <w:abstractNumId w:val="4"/>
  </w:num>
  <w:num w:numId="24" w16cid:durableId="575551221">
    <w:abstractNumId w:val="8"/>
  </w:num>
  <w:num w:numId="25" w16cid:durableId="476654712">
    <w:abstractNumId w:val="21"/>
  </w:num>
  <w:num w:numId="26" w16cid:durableId="522791566">
    <w:abstractNumId w:val="18"/>
  </w:num>
  <w:num w:numId="27" w16cid:durableId="1641960535">
    <w:abstractNumId w:val="27"/>
  </w:num>
  <w:num w:numId="28" w16cid:durableId="73597766">
    <w:abstractNumId w:val="20"/>
  </w:num>
  <w:num w:numId="29" w16cid:durableId="224997815">
    <w:abstractNumId w:val="31"/>
  </w:num>
  <w:num w:numId="30" w16cid:durableId="1758676383">
    <w:abstractNumId w:val="41"/>
  </w:num>
  <w:num w:numId="31" w16cid:durableId="457914696">
    <w:abstractNumId w:val="30"/>
    <w:lvlOverride w:ilvl="0">
      <w:startOverride w:val="1"/>
    </w:lvlOverride>
  </w:num>
  <w:num w:numId="32" w16cid:durableId="1777752895">
    <w:abstractNumId w:val="0"/>
  </w:num>
  <w:num w:numId="33" w16cid:durableId="1137798545">
    <w:abstractNumId w:val="33"/>
  </w:num>
  <w:num w:numId="34" w16cid:durableId="72053693">
    <w:abstractNumId w:val="40"/>
  </w:num>
  <w:num w:numId="35" w16cid:durableId="636838129">
    <w:abstractNumId w:val="19"/>
  </w:num>
  <w:num w:numId="36" w16cid:durableId="577404141">
    <w:abstractNumId w:val="37"/>
  </w:num>
  <w:num w:numId="37" w16cid:durableId="1794012176">
    <w:abstractNumId w:val="26"/>
  </w:num>
  <w:num w:numId="38" w16cid:durableId="7876610">
    <w:abstractNumId w:val="1"/>
  </w:num>
  <w:num w:numId="39" w16cid:durableId="1557544572">
    <w:abstractNumId w:val="34"/>
  </w:num>
  <w:num w:numId="40" w16cid:durableId="129590543">
    <w:abstractNumId w:val="12"/>
  </w:num>
  <w:num w:numId="41" w16cid:durableId="265112454">
    <w:abstractNumId w:val="7"/>
  </w:num>
  <w:num w:numId="42" w16cid:durableId="990446225">
    <w:abstractNumId w:val="14"/>
  </w:num>
  <w:num w:numId="43" w16cid:durableId="203055642">
    <w:abstractNumId w:val="29"/>
  </w:num>
  <w:num w:numId="44" w16cid:durableId="1384284130">
    <w:abstractNumId w:val="32"/>
  </w:num>
  <w:num w:numId="45" w16cid:durableId="122768810">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A7"/>
    <w:rsid w:val="000114AF"/>
    <w:rsid w:val="00014DF0"/>
    <w:rsid w:val="0001580E"/>
    <w:rsid w:val="0002698B"/>
    <w:rsid w:val="000276B1"/>
    <w:rsid w:val="00030053"/>
    <w:rsid w:val="0003431A"/>
    <w:rsid w:val="000364E8"/>
    <w:rsid w:val="00037568"/>
    <w:rsid w:val="00044B2F"/>
    <w:rsid w:val="0004564B"/>
    <w:rsid w:val="00045E41"/>
    <w:rsid w:val="00047C89"/>
    <w:rsid w:val="00054982"/>
    <w:rsid w:val="00061AB4"/>
    <w:rsid w:val="00062554"/>
    <w:rsid w:val="00065984"/>
    <w:rsid w:val="0007649B"/>
    <w:rsid w:val="00092C50"/>
    <w:rsid w:val="000A58DC"/>
    <w:rsid w:val="000B3DEC"/>
    <w:rsid w:val="000C18F2"/>
    <w:rsid w:val="000C23C2"/>
    <w:rsid w:val="000C49AC"/>
    <w:rsid w:val="000C7DD7"/>
    <w:rsid w:val="000D43D8"/>
    <w:rsid w:val="000E1622"/>
    <w:rsid w:val="000E48D4"/>
    <w:rsid w:val="00102263"/>
    <w:rsid w:val="001114F9"/>
    <w:rsid w:val="001139B0"/>
    <w:rsid w:val="00117AFE"/>
    <w:rsid w:val="001230CE"/>
    <w:rsid w:val="00127B71"/>
    <w:rsid w:val="0013682A"/>
    <w:rsid w:val="00136D49"/>
    <w:rsid w:val="00144054"/>
    <w:rsid w:val="001467FE"/>
    <w:rsid w:val="00147F00"/>
    <w:rsid w:val="001511D7"/>
    <w:rsid w:val="00152A18"/>
    <w:rsid w:val="00156B68"/>
    <w:rsid w:val="001573C2"/>
    <w:rsid w:val="001606F8"/>
    <w:rsid w:val="00167AD6"/>
    <w:rsid w:val="00172168"/>
    <w:rsid w:val="00172EE8"/>
    <w:rsid w:val="00176C57"/>
    <w:rsid w:val="00185949"/>
    <w:rsid w:val="00193F13"/>
    <w:rsid w:val="001A1621"/>
    <w:rsid w:val="001A192C"/>
    <w:rsid w:val="001A3625"/>
    <w:rsid w:val="001A5308"/>
    <w:rsid w:val="001B00C7"/>
    <w:rsid w:val="001B6497"/>
    <w:rsid w:val="001C375C"/>
    <w:rsid w:val="001D012E"/>
    <w:rsid w:val="001D08F7"/>
    <w:rsid w:val="001E4D89"/>
    <w:rsid w:val="001F637B"/>
    <w:rsid w:val="001F677B"/>
    <w:rsid w:val="001F7A3B"/>
    <w:rsid w:val="00201C86"/>
    <w:rsid w:val="0020253F"/>
    <w:rsid w:val="00213138"/>
    <w:rsid w:val="0021360F"/>
    <w:rsid w:val="00213F71"/>
    <w:rsid w:val="002168FE"/>
    <w:rsid w:val="002210A9"/>
    <w:rsid w:val="002211D1"/>
    <w:rsid w:val="002216F5"/>
    <w:rsid w:val="0022706E"/>
    <w:rsid w:val="0023274C"/>
    <w:rsid w:val="00235CCC"/>
    <w:rsid w:val="002361E5"/>
    <w:rsid w:val="0025508E"/>
    <w:rsid w:val="002637D6"/>
    <w:rsid w:val="002651D9"/>
    <w:rsid w:val="0027018E"/>
    <w:rsid w:val="0027542E"/>
    <w:rsid w:val="0028737E"/>
    <w:rsid w:val="002A247D"/>
    <w:rsid w:val="002B2633"/>
    <w:rsid w:val="002B4C8A"/>
    <w:rsid w:val="002B4FF8"/>
    <w:rsid w:val="002C76D8"/>
    <w:rsid w:val="002C795D"/>
    <w:rsid w:val="002D2464"/>
    <w:rsid w:val="002D7AD0"/>
    <w:rsid w:val="002E7589"/>
    <w:rsid w:val="002E77C7"/>
    <w:rsid w:val="002E792B"/>
    <w:rsid w:val="002E7AC9"/>
    <w:rsid w:val="002F5F1F"/>
    <w:rsid w:val="002F6FA9"/>
    <w:rsid w:val="003017CD"/>
    <w:rsid w:val="003059A6"/>
    <w:rsid w:val="0030723F"/>
    <w:rsid w:val="00307A84"/>
    <w:rsid w:val="00314F69"/>
    <w:rsid w:val="003178AE"/>
    <w:rsid w:val="00325B73"/>
    <w:rsid w:val="0032720E"/>
    <w:rsid w:val="0033120C"/>
    <w:rsid w:val="00332A7E"/>
    <w:rsid w:val="00334E7E"/>
    <w:rsid w:val="0033779D"/>
    <w:rsid w:val="0034172B"/>
    <w:rsid w:val="00342A0C"/>
    <w:rsid w:val="0034552B"/>
    <w:rsid w:val="003465C6"/>
    <w:rsid w:val="00346904"/>
    <w:rsid w:val="00350FE1"/>
    <w:rsid w:val="00355764"/>
    <w:rsid w:val="003671B4"/>
    <w:rsid w:val="00382106"/>
    <w:rsid w:val="003827AC"/>
    <w:rsid w:val="0038469F"/>
    <w:rsid w:val="0038600E"/>
    <w:rsid w:val="003878E3"/>
    <w:rsid w:val="003904BC"/>
    <w:rsid w:val="0039244B"/>
    <w:rsid w:val="00393FD3"/>
    <w:rsid w:val="003A3517"/>
    <w:rsid w:val="003A7878"/>
    <w:rsid w:val="003C0A1F"/>
    <w:rsid w:val="003C123C"/>
    <w:rsid w:val="003C58A9"/>
    <w:rsid w:val="003C711B"/>
    <w:rsid w:val="003D4DAE"/>
    <w:rsid w:val="003D59C8"/>
    <w:rsid w:val="003E13A7"/>
    <w:rsid w:val="003E6545"/>
    <w:rsid w:val="003F7B1D"/>
    <w:rsid w:val="00400B42"/>
    <w:rsid w:val="0040676D"/>
    <w:rsid w:val="00414A48"/>
    <w:rsid w:val="00416AFB"/>
    <w:rsid w:val="0041784F"/>
    <w:rsid w:val="00432A09"/>
    <w:rsid w:val="00443843"/>
    <w:rsid w:val="004604B5"/>
    <w:rsid w:val="004620A9"/>
    <w:rsid w:val="0047242D"/>
    <w:rsid w:val="00477DB7"/>
    <w:rsid w:val="00477E60"/>
    <w:rsid w:val="00480E2B"/>
    <w:rsid w:val="004836C9"/>
    <w:rsid w:val="00485E01"/>
    <w:rsid w:val="00486263"/>
    <w:rsid w:val="00497A3D"/>
    <w:rsid w:val="004A12DA"/>
    <w:rsid w:val="004A37B9"/>
    <w:rsid w:val="004A41AA"/>
    <w:rsid w:val="004B32DC"/>
    <w:rsid w:val="004B381C"/>
    <w:rsid w:val="004C3EB3"/>
    <w:rsid w:val="004D216B"/>
    <w:rsid w:val="004D4141"/>
    <w:rsid w:val="004D4BEC"/>
    <w:rsid w:val="004F074B"/>
    <w:rsid w:val="004F0A80"/>
    <w:rsid w:val="004F1F3C"/>
    <w:rsid w:val="004F5FA7"/>
    <w:rsid w:val="004F65AF"/>
    <w:rsid w:val="004F6B8E"/>
    <w:rsid w:val="00505961"/>
    <w:rsid w:val="005060D1"/>
    <w:rsid w:val="00513573"/>
    <w:rsid w:val="00514AE6"/>
    <w:rsid w:val="00515EF8"/>
    <w:rsid w:val="00516F6B"/>
    <w:rsid w:val="00523121"/>
    <w:rsid w:val="00525DDB"/>
    <w:rsid w:val="00527C78"/>
    <w:rsid w:val="005322FA"/>
    <w:rsid w:val="005331A3"/>
    <w:rsid w:val="00533E46"/>
    <w:rsid w:val="005425BA"/>
    <w:rsid w:val="00553275"/>
    <w:rsid w:val="00554A57"/>
    <w:rsid w:val="00564EA0"/>
    <w:rsid w:val="00566F7D"/>
    <w:rsid w:val="005802F8"/>
    <w:rsid w:val="00581193"/>
    <w:rsid w:val="005872E1"/>
    <w:rsid w:val="0059164E"/>
    <w:rsid w:val="00591650"/>
    <w:rsid w:val="005A31BF"/>
    <w:rsid w:val="005A4229"/>
    <w:rsid w:val="005A44CB"/>
    <w:rsid w:val="005A4DBB"/>
    <w:rsid w:val="005A587A"/>
    <w:rsid w:val="005A670A"/>
    <w:rsid w:val="005A74B5"/>
    <w:rsid w:val="005A78B3"/>
    <w:rsid w:val="005B54AE"/>
    <w:rsid w:val="005B7FBE"/>
    <w:rsid w:val="005C1999"/>
    <w:rsid w:val="005C6670"/>
    <w:rsid w:val="005D6BC7"/>
    <w:rsid w:val="005F03B2"/>
    <w:rsid w:val="006009B4"/>
    <w:rsid w:val="006067F1"/>
    <w:rsid w:val="006144BB"/>
    <w:rsid w:val="00614AA4"/>
    <w:rsid w:val="00615263"/>
    <w:rsid w:val="006157FA"/>
    <w:rsid w:val="00616821"/>
    <w:rsid w:val="006222C4"/>
    <w:rsid w:val="00625FAA"/>
    <w:rsid w:val="006269AA"/>
    <w:rsid w:val="00634D45"/>
    <w:rsid w:val="00635104"/>
    <w:rsid w:val="006379BC"/>
    <w:rsid w:val="00641915"/>
    <w:rsid w:val="006672D5"/>
    <w:rsid w:val="00676F56"/>
    <w:rsid w:val="00686C9E"/>
    <w:rsid w:val="00692F2A"/>
    <w:rsid w:val="0069415C"/>
    <w:rsid w:val="006A4BA0"/>
    <w:rsid w:val="006A6A8B"/>
    <w:rsid w:val="006B2669"/>
    <w:rsid w:val="006B27CC"/>
    <w:rsid w:val="006B67C7"/>
    <w:rsid w:val="006C3D81"/>
    <w:rsid w:val="006C3DE5"/>
    <w:rsid w:val="006D2D60"/>
    <w:rsid w:val="006D5DEF"/>
    <w:rsid w:val="006E7243"/>
    <w:rsid w:val="006E7371"/>
    <w:rsid w:val="006E74CD"/>
    <w:rsid w:val="006E7BB1"/>
    <w:rsid w:val="006F6DAD"/>
    <w:rsid w:val="00704BF2"/>
    <w:rsid w:val="0071696F"/>
    <w:rsid w:val="00716DB0"/>
    <w:rsid w:val="007200FD"/>
    <w:rsid w:val="007226CF"/>
    <w:rsid w:val="00725AA2"/>
    <w:rsid w:val="00726E01"/>
    <w:rsid w:val="007360C0"/>
    <w:rsid w:val="00740E2B"/>
    <w:rsid w:val="007536ED"/>
    <w:rsid w:val="0075550A"/>
    <w:rsid w:val="00760042"/>
    <w:rsid w:val="00763A39"/>
    <w:rsid w:val="00772B7F"/>
    <w:rsid w:val="00776554"/>
    <w:rsid w:val="00776EB8"/>
    <w:rsid w:val="00780093"/>
    <w:rsid w:val="007863C7"/>
    <w:rsid w:val="00792A7B"/>
    <w:rsid w:val="007A0B36"/>
    <w:rsid w:val="007A36A8"/>
    <w:rsid w:val="007B07BB"/>
    <w:rsid w:val="007C06A9"/>
    <w:rsid w:val="007E26B0"/>
    <w:rsid w:val="007E4908"/>
    <w:rsid w:val="007E547B"/>
    <w:rsid w:val="007F058E"/>
    <w:rsid w:val="007F273E"/>
    <w:rsid w:val="00800200"/>
    <w:rsid w:val="00805A84"/>
    <w:rsid w:val="00810505"/>
    <w:rsid w:val="00810BB8"/>
    <w:rsid w:val="008124CB"/>
    <w:rsid w:val="00812904"/>
    <w:rsid w:val="008153E3"/>
    <w:rsid w:val="0082577E"/>
    <w:rsid w:val="00826E33"/>
    <w:rsid w:val="008318DB"/>
    <w:rsid w:val="00845FFC"/>
    <w:rsid w:val="0085157E"/>
    <w:rsid w:val="00851C4A"/>
    <w:rsid w:val="00852E64"/>
    <w:rsid w:val="008573CD"/>
    <w:rsid w:val="008677E2"/>
    <w:rsid w:val="00876B8D"/>
    <w:rsid w:val="00883315"/>
    <w:rsid w:val="008837D6"/>
    <w:rsid w:val="008842B7"/>
    <w:rsid w:val="0088545B"/>
    <w:rsid w:val="008B79F2"/>
    <w:rsid w:val="008D05F3"/>
    <w:rsid w:val="008D40C5"/>
    <w:rsid w:val="008E10E3"/>
    <w:rsid w:val="008E2301"/>
    <w:rsid w:val="008E26B8"/>
    <w:rsid w:val="008F1B01"/>
    <w:rsid w:val="008F1CA9"/>
    <w:rsid w:val="008F1D2C"/>
    <w:rsid w:val="008F5B0D"/>
    <w:rsid w:val="008F611A"/>
    <w:rsid w:val="00903F1C"/>
    <w:rsid w:val="00906BEC"/>
    <w:rsid w:val="00907F73"/>
    <w:rsid w:val="00912754"/>
    <w:rsid w:val="00912782"/>
    <w:rsid w:val="00920275"/>
    <w:rsid w:val="009213B7"/>
    <w:rsid w:val="009305E7"/>
    <w:rsid w:val="00935B30"/>
    <w:rsid w:val="0094316C"/>
    <w:rsid w:val="00943580"/>
    <w:rsid w:val="009609FA"/>
    <w:rsid w:val="00961797"/>
    <w:rsid w:val="00962927"/>
    <w:rsid w:val="0096668A"/>
    <w:rsid w:val="00970C90"/>
    <w:rsid w:val="00971EF0"/>
    <w:rsid w:val="009757A4"/>
    <w:rsid w:val="0098720B"/>
    <w:rsid w:val="00991807"/>
    <w:rsid w:val="00997D73"/>
    <w:rsid w:val="009A04F5"/>
    <w:rsid w:val="009C0157"/>
    <w:rsid w:val="009C0710"/>
    <w:rsid w:val="009C0EE1"/>
    <w:rsid w:val="009C2FAD"/>
    <w:rsid w:val="009D2B4E"/>
    <w:rsid w:val="009D3A30"/>
    <w:rsid w:val="009E1B8E"/>
    <w:rsid w:val="009E43E0"/>
    <w:rsid w:val="009E518C"/>
    <w:rsid w:val="009F30D7"/>
    <w:rsid w:val="009F3983"/>
    <w:rsid w:val="009F652B"/>
    <w:rsid w:val="00A01D06"/>
    <w:rsid w:val="00A02D7B"/>
    <w:rsid w:val="00A12162"/>
    <w:rsid w:val="00A1262C"/>
    <w:rsid w:val="00A254C4"/>
    <w:rsid w:val="00A26A20"/>
    <w:rsid w:val="00A342EB"/>
    <w:rsid w:val="00A36C2C"/>
    <w:rsid w:val="00A63959"/>
    <w:rsid w:val="00A66416"/>
    <w:rsid w:val="00A730B5"/>
    <w:rsid w:val="00A77A8E"/>
    <w:rsid w:val="00A82903"/>
    <w:rsid w:val="00AA0393"/>
    <w:rsid w:val="00AA4422"/>
    <w:rsid w:val="00AC0FE8"/>
    <w:rsid w:val="00AE465B"/>
    <w:rsid w:val="00AE5AD9"/>
    <w:rsid w:val="00AF2CF3"/>
    <w:rsid w:val="00AF5AD5"/>
    <w:rsid w:val="00AF7ABB"/>
    <w:rsid w:val="00B01E56"/>
    <w:rsid w:val="00B05DAA"/>
    <w:rsid w:val="00B20C13"/>
    <w:rsid w:val="00B24AD9"/>
    <w:rsid w:val="00B24BF5"/>
    <w:rsid w:val="00B30007"/>
    <w:rsid w:val="00B313E6"/>
    <w:rsid w:val="00B418CD"/>
    <w:rsid w:val="00B41942"/>
    <w:rsid w:val="00B42A80"/>
    <w:rsid w:val="00B44192"/>
    <w:rsid w:val="00B5239C"/>
    <w:rsid w:val="00B53BBA"/>
    <w:rsid w:val="00B56753"/>
    <w:rsid w:val="00B61EA8"/>
    <w:rsid w:val="00B639B6"/>
    <w:rsid w:val="00B805F6"/>
    <w:rsid w:val="00B84F40"/>
    <w:rsid w:val="00B93CA7"/>
    <w:rsid w:val="00BA0733"/>
    <w:rsid w:val="00BA388C"/>
    <w:rsid w:val="00BA625B"/>
    <w:rsid w:val="00BB4A90"/>
    <w:rsid w:val="00BB64BD"/>
    <w:rsid w:val="00BC3D84"/>
    <w:rsid w:val="00BD203F"/>
    <w:rsid w:val="00BE179D"/>
    <w:rsid w:val="00BE57EC"/>
    <w:rsid w:val="00BE775F"/>
    <w:rsid w:val="00BF560B"/>
    <w:rsid w:val="00C01BEB"/>
    <w:rsid w:val="00C049B2"/>
    <w:rsid w:val="00C054D2"/>
    <w:rsid w:val="00C11542"/>
    <w:rsid w:val="00C2046B"/>
    <w:rsid w:val="00C252C7"/>
    <w:rsid w:val="00C31ED8"/>
    <w:rsid w:val="00C44FC1"/>
    <w:rsid w:val="00C45896"/>
    <w:rsid w:val="00C51265"/>
    <w:rsid w:val="00C554ED"/>
    <w:rsid w:val="00C72A1E"/>
    <w:rsid w:val="00C75365"/>
    <w:rsid w:val="00C90AAC"/>
    <w:rsid w:val="00C93DAB"/>
    <w:rsid w:val="00C947C1"/>
    <w:rsid w:val="00C96861"/>
    <w:rsid w:val="00CA199D"/>
    <w:rsid w:val="00CA4AB6"/>
    <w:rsid w:val="00CB3143"/>
    <w:rsid w:val="00CB7D33"/>
    <w:rsid w:val="00CB7F7C"/>
    <w:rsid w:val="00CC2AB4"/>
    <w:rsid w:val="00CC329A"/>
    <w:rsid w:val="00CC6B64"/>
    <w:rsid w:val="00CF0E44"/>
    <w:rsid w:val="00CF70E7"/>
    <w:rsid w:val="00CF7182"/>
    <w:rsid w:val="00CF74D0"/>
    <w:rsid w:val="00D036A0"/>
    <w:rsid w:val="00D104F8"/>
    <w:rsid w:val="00D138DF"/>
    <w:rsid w:val="00D169BD"/>
    <w:rsid w:val="00D20474"/>
    <w:rsid w:val="00D2692C"/>
    <w:rsid w:val="00D4181A"/>
    <w:rsid w:val="00D520FF"/>
    <w:rsid w:val="00D531D4"/>
    <w:rsid w:val="00D565B2"/>
    <w:rsid w:val="00D62D14"/>
    <w:rsid w:val="00D62EED"/>
    <w:rsid w:val="00D64136"/>
    <w:rsid w:val="00D71C0E"/>
    <w:rsid w:val="00D807ED"/>
    <w:rsid w:val="00D8590A"/>
    <w:rsid w:val="00D874F1"/>
    <w:rsid w:val="00D9566D"/>
    <w:rsid w:val="00DA5A2C"/>
    <w:rsid w:val="00DA651E"/>
    <w:rsid w:val="00DB149C"/>
    <w:rsid w:val="00DB3AC2"/>
    <w:rsid w:val="00DC3231"/>
    <w:rsid w:val="00DC3785"/>
    <w:rsid w:val="00DC5F1B"/>
    <w:rsid w:val="00DD0F1B"/>
    <w:rsid w:val="00DD413C"/>
    <w:rsid w:val="00DD794B"/>
    <w:rsid w:val="00DE6933"/>
    <w:rsid w:val="00DE7822"/>
    <w:rsid w:val="00DF0D29"/>
    <w:rsid w:val="00E04056"/>
    <w:rsid w:val="00E10494"/>
    <w:rsid w:val="00E10B8E"/>
    <w:rsid w:val="00E160FC"/>
    <w:rsid w:val="00E26A59"/>
    <w:rsid w:val="00E274B7"/>
    <w:rsid w:val="00E313EE"/>
    <w:rsid w:val="00E32BBA"/>
    <w:rsid w:val="00E33F02"/>
    <w:rsid w:val="00E4078B"/>
    <w:rsid w:val="00E416F8"/>
    <w:rsid w:val="00E41FBF"/>
    <w:rsid w:val="00E42D15"/>
    <w:rsid w:val="00E43E1A"/>
    <w:rsid w:val="00E4742C"/>
    <w:rsid w:val="00E53944"/>
    <w:rsid w:val="00E56839"/>
    <w:rsid w:val="00E752C7"/>
    <w:rsid w:val="00E77F32"/>
    <w:rsid w:val="00E820E5"/>
    <w:rsid w:val="00E83DD3"/>
    <w:rsid w:val="00E84234"/>
    <w:rsid w:val="00E85804"/>
    <w:rsid w:val="00EA09F7"/>
    <w:rsid w:val="00EA37AF"/>
    <w:rsid w:val="00EC35DE"/>
    <w:rsid w:val="00EC4408"/>
    <w:rsid w:val="00EC4844"/>
    <w:rsid w:val="00EC5A2F"/>
    <w:rsid w:val="00ED1646"/>
    <w:rsid w:val="00EE7007"/>
    <w:rsid w:val="00EE7B86"/>
    <w:rsid w:val="00EE7CF3"/>
    <w:rsid w:val="00EF03D0"/>
    <w:rsid w:val="00EF2CAB"/>
    <w:rsid w:val="00EF3C8D"/>
    <w:rsid w:val="00EF6183"/>
    <w:rsid w:val="00F00698"/>
    <w:rsid w:val="00F107B2"/>
    <w:rsid w:val="00F15E51"/>
    <w:rsid w:val="00F1655D"/>
    <w:rsid w:val="00F16C57"/>
    <w:rsid w:val="00F20EA0"/>
    <w:rsid w:val="00F218C1"/>
    <w:rsid w:val="00F23C90"/>
    <w:rsid w:val="00F26D3E"/>
    <w:rsid w:val="00F4633F"/>
    <w:rsid w:val="00F50800"/>
    <w:rsid w:val="00F5272B"/>
    <w:rsid w:val="00F6369A"/>
    <w:rsid w:val="00F7058C"/>
    <w:rsid w:val="00F83269"/>
    <w:rsid w:val="00F9216C"/>
    <w:rsid w:val="00FA06B4"/>
    <w:rsid w:val="00FA5F1F"/>
    <w:rsid w:val="00FB21B7"/>
    <w:rsid w:val="00FB7651"/>
    <w:rsid w:val="00FC2122"/>
    <w:rsid w:val="00FC23D3"/>
    <w:rsid w:val="00FF0279"/>
    <w:rsid w:val="00FF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4614D"/>
  <w15:chartTrackingRefBased/>
  <w15:docId w15:val="{CC3C4270-1E92-4215-A9A3-2B1C6DA0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3F"/>
  </w:style>
  <w:style w:type="paragraph" w:styleId="Heading1">
    <w:name w:val="heading 1"/>
    <w:basedOn w:val="Normal"/>
    <w:next w:val="Normal"/>
    <w:link w:val="Heading1Char"/>
    <w:uiPriority w:val="9"/>
    <w:qFormat/>
    <w:rsid w:val="00F23C90"/>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D414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D414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4D414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4D414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4D414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4D414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4D4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D4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C90"/>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4D4141"/>
    <w:rPr>
      <w:caps/>
      <w:spacing w:val="15"/>
      <w:shd w:val="clear" w:color="auto" w:fill="C1E4F5" w:themeFill="accent1" w:themeFillTint="33"/>
    </w:rPr>
  </w:style>
  <w:style w:type="character" w:customStyle="1" w:styleId="Heading3Char">
    <w:name w:val="Heading 3 Char"/>
    <w:basedOn w:val="DefaultParagraphFont"/>
    <w:link w:val="Heading3"/>
    <w:uiPriority w:val="9"/>
    <w:rsid w:val="004D4141"/>
    <w:rPr>
      <w:caps/>
      <w:color w:val="0A2F40" w:themeColor="accent1" w:themeShade="7F"/>
      <w:spacing w:val="15"/>
    </w:rPr>
  </w:style>
  <w:style w:type="character" w:customStyle="1" w:styleId="Heading4Char">
    <w:name w:val="Heading 4 Char"/>
    <w:basedOn w:val="DefaultParagraphFont"/>
    <w:link w:val="Heading4"/>
    <w:uiPriority w:val="9"/>
    <w:semiHidden/>
    <w:rsid w:val="004D4141"/>
    <w:rPr>
      <w:caps/>
      <w:color w:val="0F4761" w:themeColor="accent1" w:themeShade="BF"/>
      <w:spacing w:val="10"/>
    </w:rPr>
  </w:style>
  <w:style w:type="character" w:customStyle="1" w:styleId="Heading5Char">
    <w:name w:val="Heading 5 Char"/>
    <w:basedOn w:val="DefaultParagraphFont"/>
    <w:link w:val="Heading5"/>
    <w:uiPriority w:val="9"/>
    <w:semiHidden/>
    <w:rsid w:val="004D4141"/>
    <w:rPr>
      <w:caps/>
      <w:color w:val="0F4761" w:themeColor="accent1" w:themeShade="BF"/>
      <w:spacing w:val="10"/>
    </w:rPr>
  </w:style>
  <w:style w:type="character" w:customStyle="1" w:styleId="Heading6Char">
    <w:name w:val="Heading 6 Char"/>
    <w:basedOn w:val="DefaultParagraphFont"/>
    <w:link w:val="Heading6"/>
    <w:uiPriority w:val="9"/>
    <w:semiHidden/>
    <w:rsid w:val="004D4141"/>
    <w:rPr>
      <w:caps/>
      <w:color w:val="0F4761" w:themeColor="accent1" w:themeShade="BF"/>
      <w:spacing w:val="10"/>
    </w:rPr>
  </w:style>
  <w:style w:type="character" w:customStyle="1" w:styleId="Heading7Char">
    <w:name w:val="Heading 7 Char"/>
    <w:basedOn w:val="DefaultParagraphFont"/>
    <w:link w:val="Heading7"/>
    <w:uiPriority w:val="9"/>
    <w:semiHidden/>
    <w:rsid w:val="004D4141"/>
    <w:rPr>
      <w:caps/>
      <w:color w:val="0F4761" w:themeColor="accent1" w:themeShade="BF"/>
      <w:spacing w:val="10"/>
    </w:rPr>
  </w:style>
  <w:style w:type="character" w:customStyle="1" w:styleId="Heading8Char">
    <w:name w:val="Heading 8 Char"/>
    <w:basedOn w:val="DefaultParagraphFont"/>
    <w:link w:val="Heading8"/>
    <w:uiPriority w:val="9"/>
    <w:semiHidden/>
    <w:rsid w:val="004D4141"/>
    <w:rPr>
      <w:caps/>
      <w:spacing w:val="10"/>
      <w:sz w:val="18"/>
      <w:szCs w:val="18"/>
    </w:rPr>
  </w:style>
  <w:style w:type="character" w:customStyle="1" w:styleId="Heading9Char">
    <w:name w:val="Heading 9 Char"/>
    <w:basedOn w:val="DefaultParagraphFont"/>
    <w:link w:val="Heading9"/>
    <w:uiPriority w:val="9"/>
    <w:semiHidden/>
    <w:rsid w:val="004D4141"/>
    <w:rPr>
      <w:i/>
      <w:iCs/>
      <w:caps/>
      <w:spacing w:val="10"/>
      <w:sz w:val="18"/>
      <w:szCs w:val="18"/>
    </w:rPr>
  </w:style>
  <w:style w:type="paragraph" w:styleId="Title">
    <w:name w:val="Title"/>
    <w:basedOn w:val="Normal"/>
    <w:next w:val="Normal"/>
    <w:link w:val="TitleChar"/>
    <w:uiPriority w:val="10"/>
    <w:qFormat/>
    <w:rsid w:val="004D414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4D414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4D4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D4141"/>
    <w:rPr>
      <w:caps/>
      <w:color w:val="595959" w:themeColor="text1" w:themeTint="A6"/>
      <w:spacing w:val="10"/>
      <w:sz w:val="21"/>
      <w:szCs w:val="21"/>
    </w:rPr>
  </w:style>
  <w:style w:type="paragraph" w:styleId="Quote">
    <w:name w:val="Quote"/>
    <w:basedOn w:val="Normal"/>
    <w:next w:val="Normal"/>
    <w:link w:val="QuoteChar"/>
    <w:uiPriority w:val="29"/>
    <w:qFormat/>
    <w:rsid w:val="004D4141"/>
    <w:rPr>
      <w:i/>
      <w:iCs/>
      <w:sz w:val="24"/>
      <w:szCs w:val="24"/>
    </w:rPr>
  </w:style>
  <w:style w:type="character" w:customStyle="1" w:styleId="QuoteChar">
    <w:name w:val="Quote Char"/>
    <w:basedOn w:val="DefaultParagraphFont"/>
    <w:link w:val="Quote"/>
    <w:uiPriority w:val="29"/>
    <w:rsid w:val="004D4141"/>
    <w:rPr>
      <w:i/>
      <w:iCs/>
      <w:sz w:val="24"/>
      <w:szCs w:val="24"/>
    </w:rPr>
  </w:style>
  <w:style w:type="paragraph" w:styleId="ListParagraph">
    <w:name w:val="List Paragraph"/>
    <w:basedOn w:val="Normal"/>
    <w:qFormat/>
    <w:rsid w:val="003E13A7"/>
    <w:pPr>
      <w:ind w:left="720"/>
      <w:contextualSpacing/>
    </w:pPr>
  </w:style>
  <w:style w:type="character" w:styleId="IntenseEmphasis">
    <w:name w:val="Intense Emphasis"/>
    <w:uiPriority w:val="21"/>
    <w:qFormat/>
    <w:rsid w:val="004D4141"/>
    <w:rPr>
      <w:b/>
      <w:bCs/>
      <w:caps/>
      <w:color w:val="0A2F40" w:themeColor="accent1" w:themeShade="7F"/>
      <w:spacing w:val="10"/>
    </w:rPr>
  </w:style>
  <w:style w:type="paragraph" w:styleId="IntenseQuote">
    <w:name w:val="Intense Quote"/>
    <w:basedOn w:val="Normal"/>
    <w:next w:val="Normal"/>
    <w:link w:val="IntenseQuoteChar"/>
    <w:uiPriority w:val="30"/>
    <w:qFormat/>
    <w:rsid w:val="004D414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4D4141"/>
    <w:rPr>
      <w:color w:val="156082" w:themeColor="accent1"/>
      <w:sz w:val="24"/>
      <w:szCs w:val="24"/>
    </w:rPr>
  </w:style>
  <w:style w:type="character" w:styleId="IntenseReference">
    <w:name w:val="Intense Reference"/>
    <w:uiPriority w:val="32"/>
    <w:qFormat/>
    <w:rsid w:val="004D4141"/>
    <w:rPr>
      <w:b/>
      <w:bCs/>
      <w:i/>
      <w:iCs/>
      <w:caps/>
      <w:color w:val="156082" w:themeColor="accent1"/>
    </w:rPr>
  </w:style>
  <w:style w:type="paragraph" w:styleId="TOCHeading">
    <w:name w:val="TOC Heading"/>
    <w:basedOn w:val="Heading1"/>
    <w:next w:val="Normal"/>
    <w:uiPriority w:val="39"/>
    <w:semiHidden/>
    <w:unhideWhenUsed/>
    <w:qFormat/>
    <w:rsid w:val="004D4141"/>
    <w:pPr>
      <w:outlineLvl w:val="9"/>
    </w:pPr>
  </w:style>
  <w:style w:type="paragraph" w:styleId="TOC1">
    <w:name w:val="toc 1"/>
    <w:basedOn w:val="Normal"/>
    <w:next w:val="Normal"/>
    <w:autoRedefine/>
    <w:uiPriority w:val="39"/>
    <w:unhideWhenUsed/>
    <w:rsid w:val="00EC4844"/>
    <w:pPr>
      <w:tabs>
        <w:tab w:val="right" w:leader="dot" w:pos="9350"/>
      </w:tabs>
      <w:spacing w:before="120" w:after="120"/>
      <w:jc w:val="both"/>
    </w:pPr>
    <w:rPr>
      <w:rFonts w:ascii="Arial" w:hAnsi="Arial" w:cs="Arial"/>
      <w:caps/>
      <w:noProof/>
    </w:rPr>
  </w:style>
  <w:style w:type="character" w:styleId="Hyperlink">
    <w:name w:val="Hyperlink"/>
    <w:basedOn w:val="DefaultParagraphFont"/>
    <w:uiPriority w:val="99"/>
    <w:unhideWhenUsed/>
    <w:rsid w:val="003E13A7"/>
    <w:rPr>
      <w:color w:val="467886" w:themeColor="hyperlink"/>
      <w:u w:val="single"/>
    </w:rPr>
  </w:style>
  <w:style w:type="paragraph" w:styleId="Header">
    <w:name w:val="header"/>
    <w:basedOn w:val="Normal"/>
    <w:link w:val="HeaderChar"/>
    <w:uiPriority w:val="99"/>
    <w:unhideWhenUsed/>
    <w:rsid w:val="003E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3A7"/>
    <w:rPr>
      <w:kern w:val="0"/>
      <w:sz w:val="22"/>
      <w:szCs w:val="22"/>
      <w14:ligatures w14:val="none"/>
    </w:rPr>
  </w:style>
  <w:style w:type="paragraph" w:styleId="Footer">
    <w:name w:val="footer"/>
    <w:basedOn w:val="Normal"/>
    <w:link w:val="FooterChar"/>
    <w:uiPriority w:val="99"/>
    <w:unhideWhenUsed/>
    <w:rsid w:val="003E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3A7"/>
    <w:rPr>
      <w:kern w:val="0"/>
      <w:sz w:val="22"/>
      <w:szCs w:val="22"/>
      <w14:ligatures w14:val="none"/>
    </w:rPr>
  </w:style>
  <w:style w:type="table" w:styleId="TableGrid">
    <w:name w:val="Table Grid"/>
    <w:basedOn w:val="TableNormal"/>
    <w:uiPriority w:val="39"/>
    <w:rsid w:val="003E13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3A7"/>
    <w:rPr>
      <w:sz w:val="16"/>
      <w:szCs w:val="16"/>
    </w:rPr>
  </w:style>
  <w:style w:type="paragraph" w:styleId="CommentText">
    <w:name w:val="annotation text"/>
    <w:basedOn w:val="Normal"/>
    <w:link w:val="CommentTextChar"/>
    <w:uiPriority w:val="99"/>
    <w:unhideWhenUsed/>
    <w:rsid w:val="003E13A7"/>
    <w:pPr>
      <w:spacing w:line="240" w:lineRule="auto"/>
    </w:pPr>
  </w:style>
  <w:style w:type="character" w:customStyle="1" w:styleId="CommentTextChar">
    <w:name w:val="Comment Text Char"/>
    <w:basedOn w:val="DefaultParagraphFont"/>
    <w:link w:val="CommentText"/>
    <w:uiPriority w:val="99"/>
    <w:rsid w:val="003E13A7"/>
    <w:rPr>
      <w:kern w:val="0"/>
      <w:sz w:val="20"/>
      <w:szCs w:val="20"/>
      <w14:ligatures w14:val="none"/>
    </w:rPr>
  </w:style>
  <w:style w:type="character" w:styleId="Emphasis">
    <w:name w:val="Emphasis"/>
    <w:uiPriority w:val="20"/>
    <w:qFormat/>
    <w:rsid w:val="004D4141"/>
    <w:rPr>
      <w:caps/>
      <w:color w:val="0A2F40" w:themeColor="accent1" w:themeShade="7F"/>
      <w:spacing w:val="5"/>
    </w:rPr>
  </w:style>
  <w:style w:type="table" w:styleId="PlainTable5">
    <w:name w:val="Plain Table 5"/>
    <w:basedOn w:val="TableNormal"/>
    <w:uiPriority w:val="45"/>
    <w:rsid w:val="003E13A7"/>
    <w:pPr>
      <w:spacing w:after="0" w:line="240" w:lineRule="auto"/>
    </w:pPr>
    <w:rPr>
      <w:rFonts w:ascii="Calibri" w:eastAsia="Calibri" w:hAnsi="Calibri" w:cs="Calibri"/>
      <w:sz w:val="22"/>
      <w:szCs w:val="22"/>
      <w:lang w:val="en-IN" w:eastAsia="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semiHidden/>
    <w:unhideWhenUsed/>
    <w:qFormat/>
    <w:rsid w:val="004D4141"/>
    <w:rPr>
      <w:b/>
      <w:bCs/>
      <w:color w:val="0F4761" w:themeColor="accent1" w:themeShade="BF"/>
      <w:sz w:val="16"/>
      <w:szCs w:val="16"/>
    </w:rPr>
  </w:style>
  <w:style w:type="character" w:styleId="Strong">
    <w:name w:val="Strong"/>
    <w:uiPriority w:val="22"/>
    <w:qFormat/>
    <w:rsid w:val="004D4141"/>
    <w:rPr>
      <w:b/>
      <w:bCs/>
    </w:rPr>
  </w:style>
  <w:style w:type="paragraph" w:styleId="NoSpacing">
    <w:name w:val="No Spacing"/>
    <w:uiPriority w:val="1"/>
    <w:qFormat/>
    <w:rsid w:val="004D4141"/>
    <w:pPr>
      <w:spacing w:after="0" w:line="240" w:lineRule="auto"/>
    </w:pPr>
  </w:style>
  <w:style w:type="character" w:styleId="SubtleEmphasis">
    <w:name w:val="Subtle Emphasis"/>
    <w:uiPriority w:val="19"/>
    <w:qFormat/>
    <w:rsid w:val="004D4141"/>
    <w:rPr>
      <w:i/>
      <w:iCs/>
      <w:color w:val="0A2F40" w:themeColor="accent1" w:themeShade="7F"/>
    </w:rPr>
  </w:style>
  <w:style w:type="character" w:styleId="SubtleReference">
    <w:name w:val="Subtle Reference"/>
    <w:uiPriority w:val="31"/>
    <w:qFormat/>
    <w:rsid w:val="004D4141"/>
    <w:rPr>
      <w:b/>
      <w:bCs/>
      <w:color w:val="156082" w:themeColor="accent1"/>
    </w:rPr>
  </w:style>
  <w:style w:type="character" w:styleId="BookTitle">
    <w:name w:val="Book Title"/>
    <w:uiPriority w:val="33"/>
    <w:qFormat/>
    <w:rsid w:val="004D4141"/>
    <w:rPr>
      <w:b/>
      <w:bCs/>
      <w:i/>
      <w:iCs/>
      <w:spacing w:val="0"/>
    </w:rPr>
  </w:style>
  <w:style w:type="paragraph" w:customStyle="1" w:styleId="MainHeading1">
    <w:name w:val="Main Heading (1)"/>
    <w:basedOn w:val="Heading1"/>
    <w:link w:val="MainHeading1Char"/>
    <w:rsid w:val="003E13A7"/>
  </w:style>
  <w:style w:type="character" w:customStyle="1" w:styleId="MainHeading1Char">
    <w:name w:val="Main Heading (1) Char"/>
    <w:basedOn w:val="Heading1Char"/>
    <w:link w:val="MainHeading1"/>
    <w:rsid w:val="003E13A7"/>
    <w:rPr>
      <w:caps/>
      <w:color w:val="FFFFFF" w:themeColor="background1"/>
      <w:spacing w:val="15"/>
      <w:sz w:val="22"/>
      <w:szCs w:val="22"/>
      <w:shd w:val="clear" w:color="auto" w:fill="156082" w:themeFill="accent1"/>
    </w:rPr>
  </w:style>
  <w:style w:type="paragraph" w:customStyle="1" w:styleId="Style1">
    <w:name w:val="Style1"/>
    <w:basedOn w:val="MainHeading1"/>
    <w:link w:val="Style1Char"/>
    <w:rsid w:val="003E13A7"/>
    <w:pPr>
      <w:ind w:left="720"/>
    </w:pPr>
  </w:style>
  <w:style w:type="character" w:customStyle="1" w:styleId="Style1Char">
    <w:name w:val="Style1 Char"/>
    <w:basedOn w:val="MainHeading1Char"/>
    <w:link w:val="Style1"/>
    <w:rsid w:val="003E13A7"/>
    <w:rPr>
      <w:caps/>
      <w:color w:val="FFFFFF" w:themeColor="background1"/>
      <w:spacing w:val="15"/>
      <w:sz w:val="22"/>
      <w:szCs w:val="22"/>
      <w:shd w:val="clear" w:color="auto" w:fill="156082" w:themeFill="accent1"/>
    </w:rPr>
  </w:style>
  <w:style w:type="table" w:styleId="ListTable5Dark-Accent1">
    <w:name w:val="List Table 5 Dark Accent 1"/>
    <w:basedOn w:val="TableNormal"/>
    <w:uiPriority w:val="50"/>
    <w:rsid w:val="004D4141"/>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ommentSubject">
    <w:name w:val="annotation subject"/>
    <w:basedOn w:val="CommentText"/>
    <w:next w:val="CommentText"/>
    <w:link w:val="CommentSubjectChar"/>
    <w:uiPriority w:val="99"/>
    <w:semiHidden/>
    <w:unhideWhenUsed/>
    <w:rsid w:val="00876B8D"/>
    <w:rPr>
      <w:b/>
      <w:bCs/>
    </w:rPr>
  </w:style>
  <w:style w:type="character" w:customStyle="1" w:styleId="CommentSubjectChar">
    <w:name w:val="Comment Subject Char"/>
    <w:basedOn w:val="CommentTextChar"/>
    <w:link w:val="CommentSubject"/>
    <w:uiPriority w:val="99"/>
    <w:semiHidden/>
    <w:rsid w:val="00876B8D"/>
    <w:rPr>
      <w:b/>
      <w:bCs/>
      <w:kern w:val="0"/>
      <w:sz w:val="20"/>
      <w:szCs w:val="20"/>
      <w14:ligatures w14:val="none"/>
    </w:rPr>
  </w:style>
  <w:style w:type="character" w:styleId="UnresolvedMention">
    <w:name w:val="Unresolved Mention"/>
    <w:basedOn w:val="DefaultParagraphFont"/>
    <w:uiPriority w:val="99"/>
    <w:semiHidden/>
    <w:unhideWhenUsed/>
    <w:rsid w:val="00876B8D"/>
    <w:rPr>
      <w:color w:val="605E5C"/>
      <w:shd w:val="clear" w:color="auto" w:fill="E1DFDD"/>
    </w:rPr>
  </w:style>
  <w:style w:type="paragraph" w:styleId="NormalWeb">
    <w:name w:val="Normal (Web)"/>
    <w:basedOn w:val="Normal"/>
    <w:uiPriority w:val="99"/>
    <w:semiHidden/>
    <w:unhideWhenUsed/>
    <w:rsid w:val="00AC0FE8"/>
    <w:rPr>
      <w:rFonts w:ascii="Times New Roman" w:hAnsi="Times New Roman" w:cs="Times New Roman"/>
      <w:sz w:val="24"/>
      <w:szCs w:val="24"/>
    </w:rPr>
  </w:style>
  <w:style w:type="paragraph" w:customStyle="1" w:styleId="TableParagraph">
    <w:name w:val="Table Paragraph"/>
    <w:basedOn w:val="Normal"/>
    <w:rsid w:val="004F65AF"/>
    <w:pPr>
      <w:suppressAutoHyphens/>
      <w:autoSpaceDN w:val="0"/>
      <w:spacing w:before="0" w:after="160" w:line="312" w:lineRule="auto"/>
    </w:pPr>
    <w:rPr>
      <w:rFonts w:ascii="Century Schoolbook" w:eastAsia="Times New Roman" w:hAnsi="Century Schoolbook" w:cs="Times New Roman"/>
      <w:sz w:val="21"/>
      <w:szCs w:val="21"/>
    </w:rPr>
  </w:style>
  <w:style w:type="paragraph" w:styleId="TOC2">
    <w:name w:val="toc 2"/>
    <w:basedOn w:val="Normal"/>
    <w:next w:val="Normal"/>
    <w:autoRedefine/>
    <w:uiPriority w:val="39"/>
    <w:unhideWhenUsed/>
    <w:rsid w:val="000E1622"/>
    <w:pPr>
      <w:tabs>
        <w:tab w:val="right" w:leader="dot" w:pos="9350"/>
      </w:tabs>
      <w:spacing w:after="100"/>
    </w:pPr>
    <w:rPr>
      <w:rFonts w:ascii="Bookman Old Style" w:eastAsiaTheme="majorEastAsia" w:hAnsi="Bookman Old Style"/>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2506">
      <w:bodyDiv w:val="1"/>
      <w:marLeft w:val="0"/>
      <w:marRight w:val="0"/>
      <w:marTop w:val="0"/>
      <w:marBottom w:val="0"/>
      <w:divBdr>
        <w:top w:val="none" w:sz="0" w:space="0" w:color="auto"/>
        <w:left w:val="none" w:sz="0" w:space="0" w:color="auto"/>
        <w:bottom w:val="none" w:sz="0" w:space="0" w:color="auto"/>
        <w:right w:val="none" w:sz="0" w:space="0" w:color="auto"/>
      </w:divBdr>
    </w:div>
    <w:div w:id="230776471">
      <w:bodyDiv w:val="1"/>
      <w:marLeft w:val="0"/>
      <w:marRight w:val="0"/>
      <w:marTop w:val="0"/>
      <w:marBottom w:val="0"/>
      <w:divBdr>
        <w:top w:val="none" w:sz="0" w:space="0" w:color="auto"/>
        <w:left w:val="none" w:sz="0" w:space="0" w:color="auto"/>
        <w:bottom w:val="none" w:sz="0" w:space="0" w:color="auto"/>
        <w:right w:val="none" w:sz="0" w:space="0" w:color="auto"/>
      </w:divBdr>
    </w:div>
    <w:div w:id="237985352">
      <w:bodyDiv w:val="1"/>
      <w:marLeft w:val="0"/>
      <w:marRight w:val="0"/>
      <w:marTop w:val="0"/>
      <w:marBottom w:val="0"/>
      <w:divBdr>
        <w:top w:val="none" w:sz="0" w:space="0" w:color="auto"/>
        <w:left w:val="none" w:sz="0" w:space="0" w:color="auto"/>
        <w:bottom w:val="none" w:sz="0" w:space="0" w:color="auto"/>
        <w:right w:val="none" w:sz="0" w:space="0" w:color="auto"/>
      </w:divBdr>
    </w:div>
    <w:div w:id="249968156">
      <w:bodyDiv w:val="1"/>
      <w:marLeft w:val="0"/>
      <w:marRight w:val="0"/>
      <w:marTop w:val="0"/>
      <w:marBottom w:val="0"/>
      <w:divBdr>
        <w:top w:val="none" w:sz="0" w:space="0" w:color="auto"/>
        <w:left w:val="none" w:sz="0" w:space="0" w:color="auto"/>
        <w:bottom w:val="none" w:sz="0" w:space="0" w:color="auto"/>
        <w:right w:val="none" w:sz="0" w:space="0" w:color="auto"/>
      </w:divBdr>
    </w:div>
    <w:div w:id="296762893">
      <w:bodyDiv w:val="1"/>
      <w:marLeft w:val="0"/>
      <w:marRight w:val="0"/>
      <w:marTop w:val="0"/>
      <w:marBottom w:val="0"/>
      <w:divBdr>
        <w:top w:val="none" w:sz="0" w:space="0" w:color="auto"/>
        <w:left w:val="none" w:sz="0" w:space="0" w:color="auto"/>
        <w:bottom w:val="none" w:sz="0" w:space="0" w:color="auto"/>
        <w:right w:val="none" w:sz="0" w:space="0" w:color="auto"/>
      </w:divBdr>
    </w:div>
    <w:div w:id="305817571">
      <w:bodyDiv w:val="1"/>
      <w:marLeft w:val="0"/>
      <w:marRight w:val="0"/>
      <w:marTop w:val="0"/>
      <w:marBottom w:val="0"/>
      <w:divBdr>
        <w:top w:val="none" w:sz="0" w:space="0" w:color="auto"/>
        <w:left w:val="none" w:sz="0" w:space="0" w:color="auto"/>
        <w:bottom w:val="none" w:sz="0" w:space="0" w:color="auto"/>
        <w:right w:val="none" w:sz="0" w:space="0" w:color="auto"/>
      </w:divBdr>
    </w:div>
    <w:div w:id="307174458">
      <w:bodyDiv w:val="1"/>
      <w:marLeft w:val="0"/>
      <w:marRight w:val="0"/>
      <w:marTop w:val="0"/>
      <w:marBottom w:val="0"/>
      <w:divBdr>
        <w:top w:val="none" w:sz="0" w:space="0" w:color="auto"/>
        <w:left w:val="none" w:sz="0" w:space="0" w:color="auto"/>
        <w:bottom w:val="none" w:sz="0" w:space="0" w:color="auto"/>
        <w:right w:val="none" w:sz="0" w:space="0" w:color="auto"/>
      </w:divBdr>
    </w:div>
    <w:div w:id="325208119">
      <w:bodyDiv w:val="1"/>
      <w:marLeft w:val="0"/>
      <w:marRight w:val="0"/>
      <w:marTop w:val="0"/>
      <w:marBottom w:val="0"/>
      <w:divBdr>
        <w:top w:val="none" w:sz="0" w:space="0" w:color="auto"/>
        <w:left w:val="none" w:sz="0" w:space="0" w:color="auto"/>
        <w:bottom w:val="none" w:sz="0" w:space="0" w:color="auto"/>
        <w:right w:val="none" w:sz="0" w:space="0" w:color="auto"/>
      </w:divBdr>
    </w:div>
    <w:div w:id="328098243">
      <w:bodyDiv w:val="1"/>
      <w:marLeft w:val="0"/>
      <w:marRight w:val="0"/>
      <w:marTop w:val="0"/>
      <w:marBottom w:val="0"/>
      <w:divBdr>
        <w:top w:val="none" w:sz="0" w:space="0" w:color="auto"/>
        <w:left w:val="none" w:sz="0" w:space="0" w:color="auto"/>
        <w:bottom w:val="none" w:sz="0" w:space="0" w:color="auto"/>
        <w:right w:val="none" w:sz="0" w:space="0" w:color="auto"/>
      </w:divBdr>
    </w:div>
    <w:div w:id="332728870">
      <w:bodyDiv w:val="1"/>
      <w:marLeft w:val="0"/>
      <w:marRight w:val="0"/>
      <w:marTop w:val="0"/>
      <w:marBottom w:val="0"/>
      <w:divBdr>
        <w:top w:val="none" w:sz="0" w:space="0" w:color="auto"/>
        <w:left w:val="none" w:sz="0" w:space="0" w:color="auto"/>
        <w:bottom w:val="none" w:sz="0" w:space="0" w:color="auto"/>
        <w:right w:val="none" w:sz="0" w:space="0" w:color="auto"/>
      </w:divBdr>
      <w:divsChild>
        <w:div w:id="599684423">
          <w:marLeft w:val="0"/>
          <w:marRight w:val="0"/>
          <w:marTop w:val="0"/>
          <w:marBottom w:val="0"/>
          <w:divBdr>
            <w:top w:val="none" w:sz="0" w:space="0" w:color="auto"/>
            <w:left w:val="none" w:sz="0" w:space="0" w:color="auto"/>
            <w:bottom w:val="none" w:sz="0" w:space="0" w:color="auto"/>
            <w:right w:val="none" w:sz="0" w:space="0" w:color="auto"/>
          </w:divBdr>
          <w:divsChild>
            <w:div w:id="1219049907">
              <w:marLeft w:val="0"/>
              <w:marRight w:val="0"/>
              <w:marTop w:val="0"/>
              <w:marBottom w:val="0"/>
              <w:divBdr>
                <w:top w:val="none" w:sz="0" w:space="0" w:color="auto"/>
                <w:left w:val="none" w:sz="0" w:space="0" w:color="auto"/>
                <w:bottom w:val="none" w:sz="0" w:space="0" w:color="auto"/>
                <w:right w:val="none" w:sz="0" w:space="0" w:color="auto"/>
              </w:divBdr>
              <w:divsChild>
                <w:div w:id="196285443">
                  <w:marLeft w:val="0"/>
                  <w:marRight w:val="0"/>
                  <w:marTop w:val="0"/>
                  <w:marBottom w:val="0"/>
                  <w:divBdr>
                    <w:top w:val="none" w:sz="0" w:space="0" w:color="auto"/>
                    <w:left w:val="none" w:sz="0" w:space="0" w:color="auto"/>
                    <w:bottom w:val="none" w:sz="0" w:space="0" w:color="auto"/>
                    <w:right w:val="none" w:sz="0" w:space="0" w:color="auto"/>
                  </w:divBdr>
                  <w:divsChild>
                    <w:div w:id="1565604238">
                      <w:marLeft w:val="0"/>
                      <w:marRight w:val="0"/>
                      <w:marTop w:val="0"/>
                      <w:marBottom w:val="0"/>
                      <w:divBdr>
                        <w:top w:val="none" w:sz="0" w:space="0" w:color="auto"/>
                        <w:left w:val="none" w:sz="0" w:space="0" w:color="auto"/>
                        <w:bottom w:val="none" w:sz="0" w:space="0" w:color="auto"/>
                        <w:right w:val="none" w:sz="0" w:space="0" w:color="auto"/>
                      </w:divBdr>
                      <w:divsChild>
                        <w:div w:id="552086063">
                          <w:marLeft w:val="0"/>
                          <w:marRight w:val="0"/>
                          <w:marTop w:val="0"/>
                          <w:marBottom w:val="0"/>
                          <w:divBdr>
                            <w:top w:val="none" w:sz="0" w:space="0" w:color="auto"/>
                            <w:left w:val="none" w:sz="0" w:space="0" w:color="auto"/>
                            <w:bottom w:val="none" w:sz="0" w:space="0" w:color="auto"/>
                            <w:right w:val="none" w:sz="0" w:space="0" w:color="auto"/>
                          </w:divBdr>
                          <w:divsChild>
                            <w:div w:id="37364072">
                              <w:marLeft w:val="0"/>
                              <w:marRight w:val="0"/>
                              <w:marTop w:val="0"/>
                              <w:marBottom w:val="0"/>
                              <w:divBdr>
                                <w:top w:val="none" w:sz="0" w:space="0" w:color="auto"/>
                                <w:left w:val="none" w:sz="0" w:space="0" w:color="auto"/>
                                <w:bottom w:val="none" w:sz="0" w:space="0" w:color="auto"/>
                                <w:right w:val="none" w:sz="0" w:space="0" w:color="auto"/>
                              </w:divBdr>
                              <w:divsChild>
                                <w:div w:id="948004457">
                                  <w:marLeft w:val="0"/>
                                  <w:marRight w:val="0"/>
                                  <w:marTop w:val="0"/>
                                  <w:marBottom w:val="0"/>
                                  <w:divBdr>
                                    <w:top w:val="none" w:sz="0" w:space="0" w:color="auto"/>
                                    <w:left w:val="none" w:sz="0" w:space="0" w:color="auto"/>
                                    <w:bottom w:val="none" w:sz="0" w:space="0" w:color="auto"/>
                                    <w:right w:val="none" w:sz="0" w:space="0" w:color="auto"/>
                                  </w:divBdr>
                                  <w:divsChild>
                                    <w:div w:id="1036344438">
                                      <w:marLeft w:val="0"/>
                                      <w:marRight w:val="0"/>
                                      <w:marTop w:val="0"/>
                                      <w:marBottom w:val="0"/>
                                      <w:divBdr>
                                        <w:top w:val="none" w:sz="0" w:space="0" w:color="auto"/>
                                        <w:left w:val="none" w:sz="0" w:space="0" w:color="auto"/>
                                        <w:bottom w:val="none" w:sz="0" w:space="0" w:color="auto"/>
                                        <w:right w:val="none" w:sz="0" w:space="0" w:color="auto"/>
                                      </w:divBdr>
                                      <w:divsChild>
                                        <w:div w:id="246382512">
                                          <w:marLeft w:val="0"/>
                                          <w:marRight w:val="0"/>
                                          <w:marTop w:val="0"/>
                                          <w:marBottom w:val="0"/>
                                          <w:divBdr>
                                            <w:top w:val="none" w:sz="0" w:space="0" w:color="auto"/>
                                            <w:left w:val="none" w:sz="0" w:space="0" w:color="auto"/>
                                            <w:bottom w:val="none" w:sz="0" w:space="0" w:color="auto"/>
                                            <w:right w:val="none" w:sz="0" w:space="0" w:color="auto"/>
                                          </w:divBdr>
                                          <w:divsChild>
                                            <w:div w:id="860555281">
                                              <w:marLeft w:val="0"/>
                                              <w:marRight w:val="0"/>
                                              <w:marTop w:val="0"/>
                                              <w:marBottom w:val="0"/>
                                              <w:divBdr>
                                                <w:top w:val="none" w:sz="0" w:space="0" w:color="auto"/>
                                                <w:left w:val="none" w:sz="0" w:space="0" w:color="auto"/>
                                                <w:bottom w:val="none" w:sz="0" w:space="0" w:color="auto"/>
                                                <w:right w:val="none" w:sz="0" w:space="0" w:color="auto"/>
                                              </w:divBdr>
                                              <w:divsChild>
                                                <w:div w:id="2135823656">
                                                  <w:marLeft w:val="0"/>
                                                  <w:marRight w:val="0"/>
                                                  <w:marTop w:val="0"/>
                                                  <w:marBottom w:val="0"/>
                                                  <w:divBdr>
                                                    <w:top w:val="none" w:sz="0" w:space="0" w:color="auto"/>
                                                    <w:left w:val="none" w:sz="0" w:space="0" w:color="auto"/>
                                                    <w:bottom w:val="none" w:sz="0" w:space="0" w:color="auto"/>
                                                    <w:right w:val="none" w:sz="0" w:space="0" w:color="auto"/>
                                                  </w:divBdr>
                                                  <w:divsChild>
                                                    <w:div w:id="649094234">
                                                      <w:marLeft w:val="0"/>
                                                      <w:marRight w:val="0"/>
                                                      <w:marTop w:val="0"/>
                                                      <w:marBottom w:val="0"/>
                                                      <w:divBdr>
                                                        <w:top w:val="none" w:sz="0" w:space="0" w:color="auto"/>
                                                        <w:left w:val="none" w:sz="0" w:space="0" w:color="auto"/>
                                                        <w:bottom w:val="none" w:sz="0" w:space="0" w:color="auto"/>
                                                        <w:right w:val="none" w:sz="0" w:space="0" w:color="auto"/>
                                                      </w:divBdr>
                                                      <w:divsChild>
                                                        <w:div w:id="11754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5536477">
          <w:marLeft w:val="0"/>
          <w:marRight w:val="0"/>
          <w:marTop w:val="0"/>
          <w:marBottom w:val="0"/>
          <w:divBdr>
            <w:top w:val="none" w:sz="0" w:space="0" w:color="auto"/>
            <w:left w:val="none" w:sz="0" w:space="0" w:color="auto"/>
            <w:bottom w:val="none" w:sz="0" w:space="0" w:color="auto"/>
            <w:right w:val="none" w:sz="0" w:space="0" w:color="auto"/>
          </w:divBdr>
          <w:divsChild>
            <w:div w:id="1274096224">
              <w:marLeft w:val="0"/>
              <w:marRight w:val="0"/>
              <w:marTop w:val="0"/>
              <w:marBottom w:val="0"/>
              <w:divBdr>
                <w:top w:val="none" w:sz="0" w:space="0" w:color="auto"/>
                <w:left w:val="none" w:sz="0" w:space="0" w:color="auto"/>
                <w:bottom w:val="none" w:sz="0" w:space="0" w:color="auto"/>
                <w:right w:val="none" w:sz="0" w:space="0" w:color="auto"/>
              </w:divBdr>
              <w:divsChild>
                <w:div w:id="388380060">
                  <w:marLeft w:val="0"/>
                  <w:marRight w:val="0"/>
                  <w:marTop w:val="0"/>
                  <w:marBottom w:val="0"/>
                  <w:divBdr>
                    <w:top w:val="none" w:sz="0" w:space="0" w:color="auto"/>
                    <w:left w:val="none" w:sz="0" w:space="0" w:color="auto"/>
                    <w:bottom w:val="none" w:sz="0" w:space="0" w:color="auto"/>
                    <w:right w:val="none" w:sz="0" w:space="0" w:color="auto"/>
                  </w:divBdr>
                  <w:divsChild>
                    <w:div w:id="1607812121">
                      <w:marLeft w:val="0"/>
                      <w:marRight w:val="0"/>
                      <w:marTop w:val="0"/>
                      <w:marBottom w:val="0"/>
                      <w:divBdr>
                        <w:top w:val="none" w:sz="0" w:space="0" w:color="auto"/>
                        <w:left w:val="none" w:sz="0" w:space="0" w:color="auto"/>
                        <w:bottom w:val="none" w:sz="0" w:space="0" w:color="auto"/>
                        <w:right w:val="none" w:sz="0" w:space="0" w:color="auto"/>
                      </w:divBdr>
                      <w:divsChild>
                        <w:div w:id="1814248735">
                          <w:marLeft w:val="0"/>
                          <w:marRight w:val="0"/>
                          <w:marTop w:val="0"/>
                          <w:marBottom w:val="0"/>
                          <w:divBdr>
                            <w:top w:val="none" w:sz="0" w:space="0" w:color="auto"/>
                            <w:left w:val="none" w:sz="0" w:space="0" w:color="auto"/>
                            <w:bottom w:val="none" w:sz="0" w:space="0" w:color="auto"/>
                            <w:right w:val="none" w:sz="0" w:space="0" w:color="auto"/>
                          </w:divBdr>
                          <w:divsChild>
                            <w:div w:id="2064985020">
                              <w:marLeft w:val="0"/>
                              <w:marRight w:val="0"/>
                              <w:marTop w:val="0"/>
                              <w:marBottom w:val="0"/>
                              <w:divBdr>
                                <w:top w:val="none" w:sz="0" w:space="0" w:color="auto"/>
                                <w:left w:val="none" w:sz="0" w:space="0" w:color="auto"/>
                                <w:bottom w:val="none" w:sz="0" w:space="0" w:color="auto"/>
                                <w:right w:val="none" w:sz="0" w:space="0" w:color="auto"/>
                              </w:divBdr>
                              <w:divsChild>
                                <w:div w:id="1184827459">
                                  <w:marLeft w:val="0"/>
                                  <w:marRight w:val="0"/>
                                  <w:marTop w:val="0"/>
                                  <w:marBottom w:val="0"/>
                                  <w:divBdr>
                                    <w:top w:val="none" w:sz="0" w:space="0" w:color="auto"/>
                                    <w:left w:val="none" w:sz="0" w:space="0" w:color="auto"/>
                                    <w:bottom w:val="none" w:sz="0" w:space="0" w:color="auto"/>
                                    <w:right w:val="none" w:sz="0" w:space="0" w:color="auto"/>
                                  </w:divBdr>
                                  <w:divsChild>
                                    <w:div w:id="1944192065">
                                      <w:marLeft w:val="0"/>
                                      <w:marRight w:val="0"/>
                                      <w:marTop w:val="0"/>
                                      <w:marBottom w:val="0"/>
                                      <w:divBdr>
                                        <w:top w:val="none" w:sz="0" w:space="0" w:color="auto"/>
                                        <w:left w:val="none" w:sz="0" w:space="0" w:color="auto"/>
                                        <w:bottom w:val="none" w:sz="0" w:space="0" w:color="auto"/>
                                        <w:right w:val="none" w:sz="0" w:space="0" w:color="auto"/>
                                      </w:divBdr>
                                      <w:divsChild>
                                        <w:div w:id="875851967">
                                          <w:marLeft w:val="0"/>
                                          <w:marRight w:val="0"/>
                                          <w:marTop w:val="0"/>
                                          <w:marBottom w:val="0"/>
                                          <w:divBdr>
                                            <w:top w:val="none" w:sz="0" w:space="0" w:color="auto"/>
                                            <w:left w:val="none" w:sz="0" w:space="0" w:color="auto"/>
                                            <w:bottom w:val="none" w:sz="0" w:space="0" w:color="auto"/>
                                            <w:right w:val="none" w:sz="0" w:space="0" w:color="auto"/>
                                          </w:divBdr>
                                          <w:divsChild>
                                            <w:div w:id="684524656">
                                              <w:marLeft w:val="0"/>
                                              <w:marRight w:val="0"/>
                                              <w:marTop w:val="0"/>
                                              <w:marBottom w:val="0"/>
                                              <w:divBdr>
                                                <w:top w:val="none" w:sz="0" w:space="0" w:color="auto"/>
                                                <w:left w:val="none" w:sz="0" w:space="0" w:color="auto"/>
                                                <w:bottom w:val="none" w:sz="0" w:space="0" w:color="auto"/>
                                                <w:right w:val="none" w:sz="0" w:space="0" w:color="auto"/>
                                              </w:divBdr>
                                              <w:divsChild>
                                                <w:div w:id="244582207">
                                                  <w:marLeft w:val="0"/>
                                                  <w:marRight w:val="0"/>
                                                  <w:marTop w:val="0"/>
                                                  <w:marBottom w:val="0"/>
                                                  <w:divBdr>
                                                    <w:top w:val="none" w:sz="0" w:space="0" w:color="auto"/>
                                                    <w:left w:val="none" w:sz="0" w:space="0" w:color="auto"/>
                                                    <w:bottom w:val="none" w:sz="0" w:space="0" w:color="auto"/>
                                                    <w:right w:val="none" w:sz="0" w:space="0" w:color="auto"/>
                                                  </w:divBdr>
                                                  <w:divsChild>
                                                    <w:div w:id="1099988117">
                                                      <w:marLeft w:val="0"/>
                                                      <w:marRight w:val="0"/>
                                                      <w:marTop w:val="0"/>
                                                      <w:marBottom w:val="0"/>
                                                      <w:divBdr>
                                                        <w:top w:val="none" w:sz="0" w:space="0" w:color="auto"/>
                                                        <w:left w:val="none" w:sz="0" w:space="0" w:color="auto"/>
                                                        <w:bottom w:val="none" w:sz="0" w:space="0" w:color="auto"/>
                                                        <w:right w:val="none" w:sz="0" w:space="0" w:color="auto"/>
                                                      </w:divBdr>
                                                    </w:div>
                                                  </w:divsChild>
                                                </w:div>
                                                <w:div w:id="601838285">
                                                  <w:marLeft w:val="0"/>
                                                  <w:marRight w:val="0"/>
                                                  <w:marTop w:val="0"/>
                                                  <w:marBottom w:val="0"/>
                                                  <w:divBdr>
                                                    <w:top w:val="none" w:sz="0" w:space="0" w:color="auto"/>
                                                    <w:left w:val="none" w:sz="0" w:space="0" w:color="auto"/>
                                                    <w:bottom w:val="none" w:sz="0" w:space="0" w:color="auto"/>
                                                    <w:right w:val="none" w:sz="0" w:space="0" w:color="auto"/>
                                                  </w:divBdr>
                                                  <w:divsChild>
                                                    <w:div w:id="1970282727">
                                                      <w:marLeft w:val="0"/>
                                                      <w:marRight w:val="0"/>
                                                      <w:marTop w:val="0"/>
                                                      <w:marBottom w:val="0"/>
                                                      <w:divBdr>
                                                        <w:top w:val="none" w:sz="0" w:space="0" w:color="auto"/>
                                                        <w:left w:val="none" w:sz="0" w:space="0" w:color="auto"/>
                                                        <w:bottom w:val="none" w:sz="0" w:space="0" w:color="auto"/>
                                                        <w:right w:val="none" w:sz="0" w:space="0" w:color="auto"/>
                                                      </w:divBdr>
                                                    </w:div>
                                                    <w:div w:id="16000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103796">
      <w:bodyDiv w:val="1"/>
      <w:marLeft w:val="0"/>
      <w:marRight w:val="0"/>
      <w:marTop w:val="0"/>
      <w:marBottom w:val="0"/>
      <w:divBdr>
        <w:top w:val="none" w:sz="0" w:space="0" w:color="auto"/>
        <w:left w:val="none" w:sz="0" w:space="0" w:color="auto"/>
        <w:bottom w:val="none" w:sz="0" w:space="0" w:color="auto"/>
        <w:right w:val="none" w:sz="0" w:space="0" w:color="auto"/>
      </w:divBdr>
    </w:div>
    <w:div w:id="368074637">
      <w:bodyDiv w:val="1"/>
      <w:marLeft w:val="0"/>
      <w:marRight w:val="0"/>
      <w:marTop w:val="0"/>
      <w:marBottom w:val="0"/>
      <w:divBdr>
        <w:top w:val="none" w:sz="0" w:space="0" w:color="auto"/>
        <w:left w:val="none" w:sz="0" w:space="0" w:color="auto"/>
        <w:bottom w:val="none" w:sz="0" w:space="0" w:color="auto"/>
        <w:right w:val="none" w:sz="0" w:space="0" w:color="auto"/>
      </w:divBdr>
    </w:div>
    <w:div w:id="429667896">
      <w:bodyDiv w:val="1"/>
      <w:marLeft w:val="0"/>
      <w:marRight w:val="0"/>
      <w:marTop w:val="0"/>
      <w:marBottom w:val="0"/>
      <w:divBdr>
        <w:top w:val="none" w:sz="0" w:space="0" w:color="auto"/>
        <w:left w:val="none" w:sz="0" w:space="0" w:color="auto"/>
        <w:bottom w:val="none" w:sz="0" w:space="0" w:color="auto"/>
        <w:right w:val="none" w:sz="0" w:space="0" w:color="auto"/>
      </w:divBdr>
    </w:div>
    <w:div w:id="448135446">
      <w:bodyDiv w:val="1"/>
      <w:marLeft w:val="0"/>
      <w:marRight w:val="0"/>
      <w:marTop w:val="0"/>
      <w:marBottom w:val="0"/>
      <w:divBdr>
        <w:top w:val="none" w:sz="0" w:space="0" w:color="auto"/>
        <w:left w:val="none" w:sz="0" w:space="0" w:color="auto"/>
        <w:bottom w:val="none" w:sz="0" w:space="0" w:color="auto"/>
        <w:right w:val="none" w:sz="0" w:space="0" w:color="auto"/>
      </w:divBdr>
    </w:div>
    <w:div w:id="459764721">
      <w:bodyDiv w:val="1"/>
      <w:marLeft w:val="0"/>
      <w:marRight w:val="0"/>
      <w:marTop w:val="0"/>
      <w:marBottom w:val="0"/>
      <w:divBdr>
        <w:top w:val="none" w:sz="0" w:space="0" w:color="auto"/>
        <w:left w:val="none" w:sz="0" w:space="0" w:color="auto"/>
        <w:bottom w:val="none" w:sz="0" w:space="0" w:color="auto"/>
        <w:right w:val="none" w:sz="0" w:space="0" w:color="auto"/>
      </w:divBdr>
    </w:div>
    <w:div w:id="470681711">
      <w:bodyDiv w:val="1"/>
      <w:marLeft w:val="0"/>
      <w:marRight w:val="0"/>
      <w:marTop w:val="0"/>
      <w:marBottom w:val="0"/>
      <w:divBdr>
        <w:top w:val="none" w:sz="0" w:space="0" w:color="auto"/>
        <w:left w:val="none" w:sz="0" w:space="0" w:color="auto"/>
        <w:bottom w:val="none" w:sz="0" w:space="0" w:color="auto"/>
        <w:right w:val="none" w:sz="0" w:space="0" w:color="auto"/>
      </w:divBdr>
    </w:div>
    <w:div w:id="484517558">
      <w:bodyDiv w:val="1"/>
      <w:marLeft w:val="0"/>
      <w:marRight w:val="0"/>
      <w:marTop w:val="0"/>
      <w:marBottom w:val="0"/>
      <w:divBdr>
        <w:top w:val="none" w:sz="0" w:space="0" w:color="auto"/>
        <w:left w:val="none" w:sz="0" w:space="0" w:color="auto"/>
        <w:bottom w:val="none" w:sz="0" w:space="0" w:color="auto"/>
        <w:right w:val="none" w:sz="0" w:space="0" w:color="auto"/>
      </w:divBdr>
    </w:div>
    <w:div w:id="492378686">
      <w:bodyDiv w:val="1"/>
      <w:marLeft w:val="0"/>
      <w:marRight w:val="0"/>
      <w:marTop w:val="0"/>
      <w:marBottom w:val="0"/>
      <w:divBdr>
        <w:top w:val="none" w:sz="0" w:space="0" w:color="auto"/>
        <w:left w:val="none" w:sz="0" w:space="0" w:color="auto"/>
        <w:bottom w:val="none" w:sz="0" w:space="0" w:color="auto"/>
        <w:right w:val="none" w:sz="0" w:space="0" w:color="auto"/>
      </w:divBdr>
    </w:div>
    <w:div w:id="577129640">
      <w:bodyDiv w:val="1"/>
      <w:marLeft w:val="0"/>
      <w:marRight w:val="0"/>
      <w:marTop w:val="0"/>
      <w:marBottom w:val="0"/>
      <w:divBdr>
        <w:top w:val="none" w:sz="0" w:space="0" w:color="auto"/>
        <w:left w:val="none" w:sz="0" w:space="0" w:color="auto"/>
        <w:bottom w:val="none" w:sz="0" w:space="0" w:color="auto"/>
        <w:right w:val="none" w:sz="0" w:space="0" w:color="auto"/>
      </w:divBdr>
    </w:div>
    <w:div w:id="592250559">
      <w:bodyDiv w:val="1"/>
      <w:marLeft w:val="0"/>
      <w:marRight w:val="0"/>
      <w:marTop w:val="0"/>
      <w:marBottom w:val="0"/>
      <w:divBdr>
        <w:top w:val="none" w:sz="0" w:space="0" w:color="auto"/>
        <w:left w:val="none" w:sz="0" w:space="0" w:color="auto"/>
        <w:bottom w:val="none" w:sz="0" w:space="0" w:color="auto"/>
        <w:right w:val="none" w:sz="0" w:space="0" w:color="auto"/>
      </w:divBdr>
    </w:div>
    <w:div w:id="602227485">
      <w:bodyDiv w:val="1"/>
      <w:marLeft w:val="0"/>
      <w:marRight w:val="0"/>
      <w:marTop w:val="0"/>
      <w:marBottom w:val="0"/>
      <w:divBdr>
        <w:top w:val="none" w:sz="0" w:space="0" w:color="auto"/>
        <w:left w:val="none" w:sz="0" w:space="0" w:color="auto"/>
        <w:bottom w:val="none" w:sz="0" w:space="0" w:color="auto"/>
        <w:right w:val="none" w:sz="0" w:space="0" w:color="auto"/>
      </w:divBdr>
    </w:div>
    <w:div w:id="627205959">
      <w:bodyDiv w:val="1"/>
      <w:marLeft w:val="0"/>
      <w:marRight w:val="0"/>
      <w:marTop w:val="0"/>
      <w:marBottom w:val="0"/>
      <w:divBdr>
        <w:top w:val="none" w:sz="0" w:space="0" w:color="auto"/>
        <w:left w:val="none" w:sz="0" w:space="0" w:color="auto"/>
        <w:bottom w:val="none" w:sz="0" w:space="0" w:color="auto"/>
        <w:right w:val="none" w:sz="0" w:space="0" w:color="auto"/>
      </w:divBdr>
    </w:div>
    <w:div w:id="629091081">
      <w:bodyDiv w:val="1"/>
      <w:marLeft w:val="0"/>
      <w:marRight w:val="0"/>
      <w:marTop w:val="0"/>
      <w:marBottom w:val="0"/>
      <w:divBdr>
        <w:top w:val="none" w:sz="0" w:space="0" w:color="auto"/>
        <w:left w:val="none" w:sz="0" w:space="0" w:color="auto"/>
        <w:bottom w:val="none" w:sz="0" w:space="0" w:color="auto"/>
        <w:right w:val="none" w:sz="0" w:space="0" w:color="auto"/>
      </w:divBdr>
    </w:div>
    <w:div w:id="635600710">
      <w:bodyDiv w:val="1"/>
      <w:marLeft w:val="0"/>
      <w:marRight w:val="0"/>
      <w:marTop w:val="0"/>
      <w:marBottom w:val="0"/>
      <w:divBdr>
        <w:top w:val="none" w:sz="0" w:space="0" w:color="auto"/>
        <w:left w:val="none" w:sz="0" w:space="0" w:color="auto"/>
        <w:bottom w:val="none" w:sz="0" w:space="0" w:color="auto"/>
        <w:right w:val="none" w:sz="0" w:space="0" w:color="auto"/>
      </w:divBdr>
    </w:div>
    <w:div w:id="712313630">
      <w:bodyDiv w:val="1"/>
      <w:marLeft w:val="0"/>
      <w:marRight w:val="0"/>
      <w:marTop w:val="0"/>
      <w:marBottom w:val="0"/>
      <w:divBdr>
        <w:top w:val="none" w:sz="0" w:space="0" w:color="auto"/>
        <w:left w:val="none" w:sz="0" w:space="0" w:color="auto"/>
        <w:bottom w:val="none" w:sz="0" w:space="0" w:color="auto"/>
        <w:right w:val="none" w:sz="0" w:space="0" w:color="auto"/>
      </w:divBdr>
    </w:div>
    <w:div w:id="714620662">
      <w:bodyDiv w:val="1"/>
      <w:marLeft w:val="0"/>
      <w:marRight w:val="0"/>
      <w:marTop w:val="0"/>
      <w:marBottom w:val="0"/>
      <w:divBdr>
        <w:top w:val="none" w:sz="0" w:space="0" w:color="auto"/>
        <w:left w:val="none" w:sz="0" w:space="0" w:color="auto"/>
        <w:bottom w:val="none" w:sz="0" w:space="0" w:color="auto"/>
        <w:right w:val="none" w:sz="0" w:space="0" w:color="auto"/>
      </w:divBdr>
    </w:div>
    <w:div w:id="729113683">
      <w:bodyDiv w:val="1"/>
      <w:marLeft w:val="0"/>
      <w:marRight w:val="0"/>
      <w:marTop w:val="0"/>
      <w:marBottom w:val="0"/>
      <w:divBdr>
        <w:top w:val="none" w:sz="0" w:space="0" w:color="auto"/>
        <w:left w:val="none" w:sz="0" w:space="0" w:color="auto"/>
        <w:bottom w:val="none" w:sz="0" w:space="0" w:color="auto"/>
        <w:right w:val="none" w:sz="0" w:space="0" w:color="auto"/>
      </w:divBdr>
    </w:div>
    <w:div w:id="746850877">
      <w:bodyDiv w:val="1"/>
      <w:marLeft w:val="0"/>
      <w:marRight w:val="0"/>
      <w:marTop w:val="0"/>
      <w:marBottom w:val="0"/>
      <w:divBdr>
        <w:top w:val="none" w:sz="0" w:space="0" w:color="auto"/>
        <w:left w:val="none" w:sz="0" w:space="0" w:color="auto"/>
        <w:bottom w:val="none" w:sz="0" w:space="0" w:color="auto"/>
        <w:right w:val="none" w:sz="0" w:space="0" w:color="auto"/>
      </w:divBdr>
    </w:div>
    <w:div w:id="766075271">
      <w:bodyDiv w:val="1"/>
      <w:marLeft w:val="0"/>
      <w:marRight w:val="0"/>
      <w:marTop w:val="0"/>
      <w:marBottom w:val="0"/>
      <w:divBdr>
        <w:top w:val="none" w:sz="0" w:space="0" w:color="auto"/>
        <w:left w:val="none" w:sz="0" w:space="0" w:color="auto"/>
        <w:bottom w:val="none" w:sz="0" w:space="0" w:color="auto"/>
        <w:right w:val="none" w:sz="0" w:space="0" w:color="auto"/>
      </w:divBdr>
    </w:div>
    <w:div w:id="807208184">
      <w:bodyDiv w:val="1"/>
      <w:marLeft w:val="0"/>
      <w:marRight w:val="0"/>
      <w:marTop w:val="0"/>
      <w:marBottom w:val="0"/>
      <w:divBdr>
        <w:top w:val="none" w:sz="0" w:space="0" w:color="auto"/>
        <w:left w:val="none" w:sz="0" w:space="0" w:color="auto"/>
        <w:bottom w:val="none" w:sz="0" w:space="0" w:color="auto"/>
        <w:right w:val="none" w:sz="0" w:space="0" w:color="auto"/>
      </w:divBdr>
    </w:div>
    <w:div w:id="856500347">
      <w:bodyDiv w:val="1"/>
      <w:marLeft w:val="0"/>
      <w:marRight w:val="0"/>
      <w:marTop w:val="0"/>
      <w:marBottom w:val="0"/>
      <w:divBdr>
        <w:top w:val="none" w:sz="0" w:space="0" w:color="auto"/>
        <w:left w:val="none" w:sz="0" w:space="0" w:color="auto"/>
        <w:bottom w:val="none" w:sz="0" w:space="0" w:color="auto"/>
        <w:right w:val="none" w:sz="0" w:space="0" w:color="auto"/>
      </w:divBdr>
    </w:div>
    <w:div w:id="888954830">
      <w:bodyDiv w:val="1"/>
      <w:marLeft w:val="0"/>
      <w:marRight w:val="0"/>
      <w:marTop w:val="0"/>
      <w:marBottom w:val="0"/>
      <w:divBdr>
        <w:top w:val="none" w:sz="0" w:space="0" w:color="auto"/>
        <w:left w:val="none" w:sz="0" w:space="0" w:color="auto"/>
        <w:bottom w:val="none" w:sz="0" w:space="0" w:color="auto"/>
        <w:right w:val="none" w:sz="0" w:space="0" w:color="auto"/>
      </w:divBdr>
    </w:div>
    <w:div w:id="893929139">
      <w:bodyDiv w:val="1"/>
      <w:marLeft w:val="0"/>
      <w:marRight w:val="0"/>
      <w:marTop w:val="0"/>
      <w:marBottom w:val="0"/>
      <w:divBdr>
        <w:top w:val="none" w:sz="0" w:space="0" w:color="auto"/>
        <w:left w:val="none" w:sz="0" w:space="0" w:color="auto"/>
        <w:bottom w:val="none" w:sz="0" w:space="0" w:color="auto"/>
        <w:right w:val="none" w:sz="0" w:space="0" w:color="auto"/>
      </w:divBdr>
    </w:div>
    <w:div w:id="941568201">
      <w:bodyDiv w:val="1"/>
      <w:marLeft w:val="0"/>
      <w:marRight w:val="0"/>
      <w:marTop w:val="0"/>
      <w:marBottom w:val="0"/>
      <w:divBdr>
        <w:top w:val="none" w:sz="0" w:space="0" w:color="auto"/>
        <w:left w:val="none" w:sz="0" w:space="0" w:color="auto"/>
        <w:bottom w:val="none" w:sz="0" w:space="0" w:color="auto"/>
        <w:right w:val="none" w:sz="0" w:space="0" w:color="auto"/>
      </w:divBdr>
      <w:divsChild>
        <w:div w:id="13195588">
          <w:marLeft w:val="0"/>
          <w:marRight w:val="0"/>
          <w:marTop w:val="0"/>
          <w:marBottom w:val="0"/>
          <w:divBdr>
            <w:top w:val="none" w:sz="0" w:space="0" w:color="auto"/>
            <w:left w:val="none" w:sz="0" w:space="0" w:color="auto"/>
            <w:bottom w:val="none" w:sz="0" w:space="0" w:color="auto"/>
            <w:right w:val="none" w:sz="0" w:space="0" w:color="auto"/>
          </w:divBdr>
          <w:divsChild>
            <w:div w:id="2085294865">
              <w:marLeft w:val="0"/>
              <w:marRight w:val="0"/>
              <w:marTop w:val="0"/>
              <w:marBottom w:val="0"/>
              <w:divBdr>
                <w:top w:val="none" w:sz="0" w:space="0" w:color="auto"/>
                <w:left w:val="none" w:sz="0" w:space="0" w:color="auto"/>
                <w:bottom w:val="none" w:sz="0" w:space="0" w:color="auto"/>
                <w:right w:val="none" w:sz="0" w:space="0" w:color="auto"/>
              </w:divBdr>
              <w:divsChild>
                <w:div w:id="10955172">
                  <w:marLeft w:val="0"/>
                  <w:marRight w:val="0"/>
                  <w:marTop w:val="0"/>
                  <w:marBottom w:val="0"/>
                  <w:divBdr>
                    <w:top w:val="none" w:sz="0" w:space="0" w:color="auto"/>
                    <w:left w:val="none" w:sz="0" w:space="0" w:color="auto"/>
                    <w:bottom w:val="none" w:sz="0" w:space="0" w:color="auto"/>
                    <w:right w:val="none" w:sz="0" w:space="0" w:color="auto"/>
                  </w:divBdr>
                  <w:divsChild>
                    <w:div w:id="429278583">
                      <w:marLeft w:val="0"/>
                      <w:marRight w:val="0"/>
                      <w:marTop w:val="0"/>
                      <w:marBottom w:val="0"/>
                      <w:divBdr>
                        <w:top w:val="none" w:sz="0" w:space="0" w:color="auto"/>
                        <w:left w:val="none" w:sz="0" w:space="0" w:color="auto"/>
                        <w:bottom w:val="none" w:sz="0" w:space="0" w:color="auto"/>
                        <w:right w:val="none" w:sz="0" w:space="0" w:color="auto"/>
                      </w:divBdr>
                      <w:divsChild>
                        <w:div w:id="962735368">
                          <w:marLeft w:val="0"/>
                          <w:marRight w:val="0"/>
                          <w:marTop w:val="0"/>
                          <w:marBottom w:val="0"/>
                          <w:divBdr>
                            <w:top w:val="none" w:sz="0" w:space="0" w:color="auto"/>
                            <w:left w:val="none" w:sz="0" w:space="0" w:color="auto"/>
                            <w:bottom w:val="none" w:sz="0" w:space="0" w:color="auto"/>
                            <w:right w:val="none" w:sz="0" w:space="0" w:color="auto"/>
                          </w:divBdr>
                          <w:divsChild>
                            <w:div w:id="5269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184695">
      <w:bodyDiv w:val="1"/>
      <w:marLeft w:val="0"/>
      <w:marRight w:val="0"/>
      <w:marTop w:val="0"/>
      <w:marBottom w:val="0"/>
      <w:divBdr>
        <w:top w:val="none" w:sz="0" w:space="0" w:color="auto"/>
        <w:left w:val="none" w:sz="0" w:space="0" w:color="auto"/>
        <w:bottom w:val="none" w:sz="0" w:space="0" w:color="auto"/>
        <w:right w:val="none" w:sz="0" w:space="0" w:color="auto"/>
      </w:divBdr>
    </w:div>
    <w:div w:id="1035155411">
      <w:bodyDiv w:val="1"/>
      <w:marLeft w:val="0"/>
      <w:marRight w:val="0"/>
      <w:marTop w:val="0"/>
      <w:marBottom w:val="0"/>
      <w:divBdr>
        <w:top w:val="none" w:sz="0" w:space="0" w:color="auto"/>
        <w:left w:val="none" w:sz="0" w:space="0" w:color="auto"/>
        <w:bottom w:val="none" w:sz="0" w:space="0" w:color="auto"/>
        <w:right w:val="none" w:sz="0" w:space="0" w:color="auto"/>
      </w:divBdr>
    </w:div>
    <w:div w:id="1037894478">
      <w:bodyDiv w:val="1"/>
      <w:marLeft w:val="0"/>
      <w:marRight w:val="0"/>
      <w:marTop w:val="0"/>
      <w:marBottom w:val="0"/>
      <w:divBdr>
        <w:top w:val="none" w:sz="0" w:space="0" w:color="auto"/>
        <w:left w:val="none" w:sz="0" w:space="0" w:color="auto"/>
        <w:bottom w:val="none" w:sz="0" w:space="0" w:color="auto"/>
        <w:right w:val="none" w:sz="0" w:space="0" w:color="auto"/>
      </w:divBdr>
    </w:div>
    <w:div w:id="1056246226">
      <w:bodyDiv w:val="1"/>
      <w:marLeft w:val="0"/>
      <w:marRight w:val="0"/>
      <w:marTop w:val="0"/>
      <w:marBottom w:val="0"/>
      <w:divBdr>
        <w:top w:val="none" w:sz="0" w:space="0" w:color="auto"/>
        <w:left w:val="none" w:sz="0" w:space="0" w:color="auto"/>
        <w:bottom w:val="none" w:sz="0" w:space="0" w:color="auto"/>
        <w:right w:val="none" w:sz="0" w:space="0" w:color="auto"/>
      </w:divBdr>
    </w:div>
    <w:div w:id="1082214163">
      <w:bodyDiv w:val="1"/>
      <w:marLeft w:val="0"/>
      <w:marRight w:val="0"/>
      <w:marTop w:val="0"/>
      <w:marBottom w:val="0"/>
      <w:divBdr>
        <w:top w:val="none" w:sz="0" w:space="0" w:color="auto"/>
        <w:left w:val="none" w:sz="0" w:space="0" w:color="auto"/>
        <w:bottom w:val="none" w:sz="0" w:space="0" w:color="auto"/>
        <w:right w:val="none" w:sz="0" w:space="0" w:color="auto"/>
      </w:divBdr>
    </w:div>
    <w:div w:id="1094979078">
      <w:bodyDiv w:val="1"/>
      <w:marLeft w:val="0"/>
      <w:marRight w:val="0"/>
      <w:marTop w:val="0"/>
      <w:marBottom w:val="0"/>
      <w:divBdr>
        <w:top w:val="none" w:sz="0" w:space="0" w:color="auto"/>
        <w:left w:val="none" w:sz="0" w:space="0" w:color="auto"/>
        <w:bottom w:val="none" w:sz="0" w:space="0" w:color="auto"/>
        <w:right w:val="none" w:sz="0" w:space="0" w:color="auto"/>
      </w:divBdr>
    </w:div>
    <w:div w:id="1094979432">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131438640">
      <w:bodyDiv w:val="1"/>
      <w:marLeft w:val="0"/>
      <w:marRight w:val="0"/>
      <w:marTop w:val="0"/>
      <w:marBottom w:val="0"/>
      <w:divBdr>
        <w:top w:val="none" w:sz="0" w:space="0" w:color="auto"/>
        <w:left w:val="none" w:sz="0" w:space="0" w:color="auto"/>
        <w:bottom w:val="none" w:sz="0" w:space="0" w:color="auto"/>
        <w:right w:val="none" w:sz="0" w:space="0" w:color="auto"/>
      </w:divBdr>
    </w:div>
    <w:div w:id="1170876608">
      <w:bodyDiv w:val="1"/>
      <w:marLeft w:val="0"/>
      <w:marRight w:val="0"/>
      <w:marTop w:val="0"/>
      <w:marBottom w:val="0"/>
      <w:divBdr>
        <w:top w:val="none" w:sz="0" w:space="0" w:color="auto"/>
        <w:left w:val="none" w:sz="0" w:space="0" w:color="auto"/>
        <w:bottom w:val="none" w:sz="0" w:space="0" w:color="auto"/>
        <w:right w:val="none" w:sz="0" w:space="0" w:color="auto"/>
      </w:divBdr>
    </w:div>
    <w:div w:id="1187792234">
      <w:bodyDiv w:val="1"/>
      <w:marLeft w:val="0"/>
      <w:marRight w:val="0"/>
      <w:marTop w:val="0"/>
      <w:marBottom w:val="0"/>
      <w:divBdr>
        <w:top w:val="none" w:sz="0" w:space="0" w:color="auto"/>
        <w:left w:val="none" w:sz="0" w:space="0" w:color="auto"/>
        <w:bottom w:val="none" w:sz="0" w:space="0" w:color="auto"/>
        <w:right w:val="none" w:sz="0" w:space="0" w:color="auto"/>
      </w:divBdr>
    </w:div>
    <w:div w:id="1190797193">
      <w:bodyDiv w:val="1"/>
      <w:marLeft w:val="0"/>
      <w:marRight w:val="0"/>
      <w:marTop w:val="0"/>
      <w:marBottom w:val="0"/>
      <w:divBdr>
        <w:top w:val="none" w:sz="0" w:space="0" w:color="auto"/>
        <w:left w:val="none" w:sz="0" w:space="0" w:color="auto"/>
        <w:bottom w:val="none" w:sz="0" w:space="0" w:color="auto"/>
        <w:right w:val="none" w:sz="0" w:space="0" w:color="auto"/>
      </w:divBdr>
    </w:div>
    <w:div w:id="1200778577">
      <w:bodyDiv w:val="1"/>
      <w:marLeft w:val="0"/>
      <w:marRight w:val="0"/>
      <w:marTop w:val="0"/>
      <w:marBottom w:val="0"/>
      <w:divBdr>
        <w:top w:val="none" w:sz="0" w:space="0" w:color="auto"/>
        <w:left w:val="none" w:sz="0" w:space="0" w:color="auto"/>
        <w:bottom w:val="none" w:sz="0" w:space="0" w:color="auto"/>
        <w:right w:val="none" w:sz="0" w:space="0" w:color="auto"/>
      </w:divBdr>
    </w:div>
    <w:div w:id="1213494055">
      <w:bodyDiv w:val="1"/>
      <w:marLeft w:val="0"/>
      <w:marRight w:val="0"/>
      <w:marTop w:val="0"/>
      <w:marBottom w:val="0"/>
      <w:divBdr>
        <w:top w:val="none" w:sz="0" w:space="0" w:color="auto"/>
        <w:left w:val="none" w:sz="0" w:space="0" w:color="auto"/>
        <w:bottom w:val="none" w:sz="0" w:space="0" w:color="auto"/>
        <w:right w:val="none" w:sz="0" w:space="0" w:color="auto"/>
      </w:divBdr>
      <w:divsChild>
        <w:div w:id="1315797195">
          <w:marLeft w:val="0"/>
          <w:marRight w:val="0"/>
          <w:marTop w:val="0"/>
          <w:marBottom w:val="0"/>
          <w:divBdr>
            <w:top w:val="none" w:sz="0" w:space="0" w:color="auto"/>
            <w:left w:val="none" w:sz="0" w:space="0" w:color="auto"/>
            <w:bottom w:val="none" w:sz="0" w:space="0" w:color="auto"/>
            <w:right w:val="none" w:sz="0" w:space="0" w:color="auto"/>
          </w:divBdr>
          <w:divsChild>
            <w:div w:id="340015207">
              <w:marLeft w:val="0"/>
              <w:marRight w:val="0"/>
              <w:marTop w:val="0"/>
              <w:marBottom w:val="0"/>
              <w:divBdr>
                <w:top w:val="none" w:sz="0" w:space="0" w:color="auto"/>
                <w:left w:val="none" w:sz="0" w:space="0" w:color="auto"/>
                <w:bottom w:val="none" w:sz="0" w:space="0" w:color="auto"/>
                <w:right w:val="none" w:sz="0" w:space="0" w:color="auto"/>
              </w:divBdr>
              <w:divsChild>
                <w:div w:id="1481312951">
                  <w:marLeft w:val="0"/>
                  <w:marRight w:val="0"/>
                  <w:marTop w:val="0"/>
                  <w:marBottom w:val="0"/>
                  <w:divBdr>
                    <w:top w:val="none" w:sz="0" w:space="0" w:color="auto"/>
                    <w:left w:val="none" w:sz="0" w:space="0" w:color="auto"/>
                    <w:bottom w:val="none" w:sz="0" w:space="0" w:color="auto"/>
                    <w:right w:val="none" w:sz="0" w:space="0" w:color="auto"/>
                  </w:divBdr>
                  <w:divsChild>
                    <w:div w:id="549077432">
                      <w:marLeft w:val="0"/>
                      <w:marRight w:val="0"/>
                      <w:marTop w:val="0"/>
                      <w:marBottom w:val="0"/>
                      <w:divBdr>
                        <w:top w:val="none" w:sz="0" w:space="0" w:color="auto"/>
                        <w:left w:val="none" w:sz="0" w:space="0" w:color="auto"/>
                        <w:bottom w:val="none" w:sz="0" w:space="0" w:color="auto"/>
                        <w:right w:val="none" w:sz="0" w:space="0" w:color="auto"/>
                      </w:divBdr>
                      <w:divsChild>
                        <w:div w:id="1021469857">
                          <w:marLeft w:val="0"/>
                          <w:marRight w:val="0"/>
                          <w:marTop w:val="0"/>
                          <w:marBottom w:val="0"/>
                          <w:divBdr>
                            <w:top w:val="none" w:sz="0" w:space="0" w:color="auto"/>
                            <w:left w:val="none" w:sz="0" w:space="0" w:color="auto"/>
                            <w:bottom w:val="none" w:sz="0" w:space="0" w:color="auto"/>
                            <w:right w:val="none" w:sz="0" w:space="0" w:color="auto"/>
                          </w:divBdr>
                          <w:divsChild>
                            <w:div w:id="1370304226">
                              <w:marLeft w:val="0"/>
                              <w:marRight w:val="0"/>
                              <w:marTop w:val="0"/>
                              <w:marBottom w:val="0"/>
                              <w:divBdr>
                                <w:top w:val="none" w:sz="0" w:space="0" w:color="auto"/>
                                <w:left w:val="none" w:sz="0" w:space="0" w:color="auto"/>
                                <w:bottom w:val="none" w:sz="0" w:space="0" w:color="auto"/>
                                <w:right w:val="none" w:sz="0" w:space="0" w:color="auto"/>
                              </w:divBdr>
                              <w:divsChild>
                                <w:div w:id="758142670">
                                  <w:marLeft w:val="0"/>
                                  <w:marRight w:val="0"/>
                                  <w:marTop w:val="0"/>
                                  <w:marBottom w:val="0"/>
                                  <w:divBdr>
                                    <w:top w:val="none" w:sz="0" w:space="0" w:color="auto"/>
                                    <w:left w:val="none" w:sz="0" w:space="0" w:color="auto"/>
                                    <w:bottom w:val="none" w:sz="0" w:space="0" w:color="auto"/>
                                    <w:right w:val="none" w:sz="0" w:space="0" w:color="auto"/>
                                  </w:divBdr>
                                  <w:divsChild>
                                    <w:div w:id="1266691516">
                                      <w:marLeft w:val="0"/>
                                      <w:marRight w:val="0"/>
                                      <w:marTop w:val="0"/>
                                      <w:marBottom w:val="0"/>
                                      <w:divBdr>
                                        <w:top w:val="none" w:sz="0" w:space="0" w:color="auto"/>
                                        <w:left w:val="none" w:sz="0" w:space="0" w:color="auto"/>
                                        <w:bottom w:val="none" w:sz="0" w:space="0" w:color="auto"/>
                                        <w:right w:val="none" w:sz="0" w:space="0" w:color="auto"/>
                                      </w:divBdr>
                                      <w:divsChild>
                                        <w:div w:id="274168883">
                                          <w:marLeft w:val="0"/>
                                          <w:marRight w:val="0"/>
                                          <w:marTop w:val="0"/>
                                          <w:marBottom w:val="0"/>
                                          <w:divBdr>
                                            <w:top w:val="none" w:sz="0" w:space="0" w:color="auto"/>
                                            <w:left w:val="none" w:sz="0" w:space="0" w:color="auto"/>
                                            <w:bottom w:val="none" w:sz="0" w:space="0" w:color="auto"/>
                                            <w:right w:val="none" w:sz="0" w:space="0" w:color="auto"/>
                                          </w:divBdr>
                                          <w:divsChild>
                                            <w:div w:id="1208296304">
                                              <w:marLeft w:val="0"/>
                                              <w:marRight w:val="0"/>
                                              <w:marTop w:val="0"/>
                                              <w:marBottom w:val="0"/>
                                              <w:divBdr>
                                                <w:top w:val="none" w:sz="0" w:space="0" w:color="auto"/>
                                                <w:left w:val="none" w:sz="0" w:space="0" w:color="auto"/>
                                                <w:bottom w:val="none" w:sz="0" w:space="0" w:color="auto"/>
                                                <w:right w:val="none" w:sz="0" w:space="0" w:color="auto"/>
                                              </w:divBdr>
                                              <w:divsChild>
                                                <w:div w:id="946733818">
                                                  <w:marLeft w:val="0"/>
                                                  <w:marRight w:val="0"/>
                                                  <w:marTop w:val="0"/>
                                                  <w:marBottom w:val="0"/>
                                                  <w:divBdr>
                                                    <w:top w:val="none" w:sz="0" w:space="0" w:color="auto"/>
                                                    <w:left w:val="none" w:sz="0" w:space="0" w:color="auto"/>
                                                    <w:bottom w:val="none" w:sz="0" w:space="0" w:color="auto"/>
                                                    <w:right w:val="none" w:sz="0" w:space="0" w:color="auto"/>
                                                  </w:divBdr>
                                                  <w:divsChild>
                                                    <w:div w:id="1026636562">
                                                      <w:marLeft w:val="0"/>
                                                      <w:marRight w:val="0"/>
                                                      <w:marTop w:val="0"/>
                                                      <w:marBottom w:val="0"/>
                                                      <w:divBdr>
                                                        <w:top w:val="none" w:sz="0" w:space="0" w:color="auto"/>
                                                        <w:left w:val="none" w:sz="0" w:space="0" w:color="auto"/>
                                                        <w:bottom w:val="none" w:sz="0" w:space="0" w:color="auto"/>
                                                        <w:right w:val="none" w:sz="0" w:space="0" w:color="auto"/>
                                                      </w:divBdr>
                                                      <w:divsChild>
                                                        <w:div w:id="17027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99716">
          <w:marLeft w:val="0"/>
          <w:marRight w:val="0"/>
          <w:marTop w:val="0"/>
          <w:marBottom w:val="0"/>
          <w:divBdr>
            <w:top w:val="none" w:sz="0" w:space="0" w:color="auto"/>
            <w:left w:val="none" w:sz="0" w:space="0" w:color="auto"/>
            <w:bottom w:val="none" w:sz="0" w:space="0" w:color="auto"/>
            <w:right w:val="none" w:sz="0" w:space="0" w:color="auto"/>
          </w:divBdr>
          <w:divsChild>
            <w:div w:id="1617104197">
              <w:marLeft w:val="0"/>
              <w:marRight w:val="0"/>
              <w:marTop w:val="0"/>
              <w:marBottom w:val="0"/>
              <w:divBdr>
                <w:top w:val="none" w:sz="0" w:space="0" w:color="auto"/>
                <w:left w:val="none" w:sz="0" w:space="0" w:color="auto"/>
                <w:bottom w:val="none" w:sz="0" w:space="0" w:color="auto"/>
                <w:right w:val="none" w:sz="0" w:space="0" w:color="auto"/>
              </w:divBdr>
              <w:divsChild>
                <w:div w:id="1710059971">
                  <w:marLeft w:val="0"/>
                  <w:marRight w:val="0"/>
                  <w:marTop w:val="0"/>
                  <w:marBottom w:val="0"/>
                  <w:divBdr>
                    <w:top w:val="none" w:sz="0" w:space="0" w:color="auto"/>
                    <w:left w:val="none" w:sz="0" w:space="0" w:color="auto"/>
                    <w:bottom w:val="none" w:sz="0" w:space="0" w:color="auto"/>
                    <w:right w:val="none" w:sz="0" w:space="0" w:color="auto"/>
                  </w:divBdr>
                  <w:divsChild>
                    <w:div w:id="1980569050">
                      <w:marLeft w:val="0"/>
                      <w:marRight w:val="0"/>
                      <w:marTop w:val="0"/>
                      <w:marBottom w:val="0"/>
                      <w:divBdr>
                        <w:top w:val="none" w:sz="0" w:space="0" w:color="auto"/>
                        <w:left w:val="none" w:sz="0" w:space="0" w:color="auto"/>
                        <w:bottom w:val="none" w:sz="0" w:space="0" w:color="auto"/>
                        <w:right w:val="none" w:sz="0" w:space="0" w:color="auto"/>
                      </w:divBdr>
                      <w:divsChild>
                        <w:div w:id="385449302">
                          <w:marLeft w:val="0"/>
                          <w:marRight w:val="0"/>
                          <w:marTop w:val="0"/>
                          <w:marBottom w:val="0"/>
                          <w:divBdr>
                            <w:top w:val="none" w:sz="0" w:space="0" w:color="auto"/>
                            <w:left w:val="none" w:sz="0" w:space="0" w:color="auto"/>
                            <w:bottom w:val="none" w:sz="0" w:space="0" w:color="auto"/>
                            <w:right w:val="none" w:sz="0" w:space="0" w:color="auto"/>
                          </w:divBdr>
                          <w:divsChild>
                            <w:div w:id="368799776">
                              <w:marLeft w:val="0"/>
                              <w:marRight w:val="0"/>
                              <w:marTop w:val="0"/>
                              <w:marBottom w:val="0"/>
                              <w:divBdr>
                                <w:top w:val="none" w:sz="0" w:space="0" w:color="auto"/>
                                <w:left w:val="none" w:sz="0" w:space="0" w:color="auto"/>
                                <w:bottom w:val="none" w:sz="0" w:space="0" w:color="auto"/>
                                <w:right w:val="none" w:sz="0" w:space="0" w:color="auto"/>
                              </w:divBdr>
                              <w:divsChild>
                                <w:div w:id="1451708075">
                                  <w:marLeft w:val="0"/>
                                  <w:marRight w:val="0"/>
                                  <w:marTop w:val="0"/>
                                  <w:marBottom w:val="0"/>
                                  <w:divBdr>
                                    <w:top w:val="none" w:sz="0" w:space="0" w:color="auto"/>
                                    <w:left w:val="none" w:sz="0" w:space="0" w:color="auto"/>
                                    <w:bottom w:val="none" w:sz="0" w:space="0" w:color="auto"/>
                                    <w:right w:val="none" w:sz="0" w:space="0" w:color="auto"/>
                                  </w:divBdr>
                                  <w:divsChild>
                                    <w:div w:id="731270548">
                                      <w:marLeft w:val="0"/>
                                      <w:marRight w:val="0"/>
                                      <w:marTop w:val="0"/>
                                      <w:marBottom w:val="0"/>
                                      <w:divBdr>
                                        <w:top w:val="none" w:sz="0" w:space="0" w:color="auto"/>
                                        <w:left w:val="none" w:sz="0" w:space="0" w:color="auto"/>
                                        <w:bottom w:val="none" w:sz="0" w:space="0" w:color="auto"/>
                                        <w:right w:val="none" w:sz="0" w:space="0" w:color="auto"/>
                                      </w:divBdr>
                                      <w:divsChild>
                                        <w:div w:id="576204791">
                                          <w:marLeft w:val="0"/>
                                          <w:marRight w:val="0"/>
                                          <w:marTop w:val="0"/>
                                          <w:marBottom w:val="0"/>
                                          <w:divBdr>
                                            <w:top w:val="none" w:sz="0" w:space="0" w:color="auto"/>
                                            <w:left w:val="none" w:sz="0" w:space="0" w:color="auto"/>
                                            <w:bottom w:val="none" w:sz="0" w:space="0" w:color="auto"/>
                                            <w:right w:val="none" w:sz="0" w:space="0" w:color="auto"/>
                                          </w:divBdr>
                                          <w:divsChild>
                                            <w:div w:id="2118478763">
                                              <w:marLeft w:val="0"/>
                                              <w:marRight w:val="0"/>
                                              <w:marTop w:val="0"/>
                                              <w:marBottom w:val="0"/>
                                              <w:divBdr>
                                                <w:top w:val="none" w:sz="0" w:space="0" w:color="auto"/>
                                                <w:left w:val="none" w:sz="0" w:space="0" w:color="auto"/>
                                                <w:bottom w:val="none" w:sz="0" w:space="0" w:color="auto"/>
                                                <w:right w:val="none" w:sz="0" w:space="0" w:color="auto"/>
                                              </w:divBdr>
                                              <w:divsChild>
                                                <w:div w:id="783695025">
                                                  <w:marLeft w:val="0"/>
                                                  <w:marRight w:val="0"/>
                                                  <w:marTop w:val="0"/>
                                                  <w:marBottom w:val="0"/>
                                                  <w:divBdr>
                                                    <w:top w:val="none" w:sz="0" w:space="0" w:color="auto"/>
                                                    <w:left w:val="none" w:sz="0" w:space="0" w:color="auto"/>
                                                    <w:bottom w:val="none" w:sz="0" w:space="0" w:color="auto"/>
                                                    <w:right w:val="none" w:sz="0" w:space="0" w:color="auto"/>
                                                  </w:divBdr>
                                                  <w:divsChild>
                                                    <w:div w:id="879442262">
                                                      <w:marLeft w:val="0"/>
                                                      <w:marRight w:val="0"/>
                                                      <w:marTop w:val="0"/>
                                                      <w:marBottom w:val="0"/>
                                                      <w:divBdr>
                                                        <w:top w:val="none" w:sz="0" w:space="0" w:color="auto"/>
                                                        <w:left w:val="none" w:sz="0" w:space="0" w:color="auto"/>
                                                        <w:bottom w:val="none" w:sz="0" w:space="0" w:color="auto"/>
                                                        <w:right w:val="none" w:sz="0" w:space="0" w:color="auto"/>
                                                      </w:divBdr>
                                                    </w:div>
                                                  </w:divsChild>
                                                </w:div>
                                                <w:div w:id="1429690884">
                                                  <w:marLeft w:val="0"/>
                                                  <w:marRight w:val="0"/>
                                                  <w:marTop w:val="0"/>
                                                  <w:marBottom w:val="0"/>
                                                  <w:divBdr>
                                                    <w:top w:val="none" w:sz="0" w:space="0" w:color="auto"/>
                                                    <w:left w:val="none" w:sz="0" w:space="0" w:color="auto"/>
                                                    <w:bottom w:val="none" w:sz="0" w:space="0" w:color="auto"/>
                                                    <w:right w:val="none" w:sz="0" w:space="0" w:color="auto"/>
                                                  </w:divBdr>
                                                  <w:divsChild>
                                                    <w:div w:id="1926065103">
                                                      <w:marLeft w:val="0"/>
                                                      <w:marRight w:val="0"/>
                                                      <w:marTop w:val="0"/>
                                                      <w:marBottom w:val="0"/>
                                                      <w:divBdr>
                                                        <w:top w:val="none" w:sz="0" w:space="0" w:color="auto"/>
                                                        <w:left w:val="none" w:sz="0" w:space="0" w:color="auto"/>
                                                        <w:bottom w:val="none" w:sz="0" w:space="0" w:color="auto"/>
                                                        <w:right w:val="none" w:sz="0" w:space="0" w:color="auto"/>
                                                      </w:divBdr>
                                                    </w:div>
                                                    <w:div w:id="787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357223">
      <w:bodyDiv w:val="1"/>
      <w:marLeft w:val="0"/>
      <w:marRight w:val="0"/>
      <w:marTop w:val="0"/>
      <w:marBottom w:val="0"/>
      <w:divBdr>
        <w:top w:val="none" w:sz="0" w:space="0" w:color="auto"/>
        <w:left w:val="none" w:sz="0" w:space="0" w:color="auto"/>
        <w:bottom w:val="none" w:sz="0" w:space="0" w:color="auto"/>
        <w:right w:val="none" w:sz="0" w:space="0" w:color="auto"/>
      </w:divBdr>
    </w:div>
    <w:div w:id="1223907437">
      <w:bodyDiv w:val="1"/>
      <w:marLeft w:val="0"/>
      <w:marRight w:val="0"/>
      <w:marTop w:val="0"/>
      <w:marBottom w:val="0"/>
      <w:divBdr>
        <w:top w:val="none" w:sz="0" w:space="0" w:color="auto"/>
        <w:left w:val="none" w:sz="0" w:space="0" w:color="auto"/>
        <w:bottom w:val="none" w:sz="0" w:space="0" w:color="auto"/>
        <w:right w:val="none" w:sz="0" w:space="0" w:color="auto"/>
      </w:divBdr>
    </w:div>
    <w:div w:id="1249536961">
      <w:bodyDiv w:val="1"/>
      <w:marLeft w:val="0"/>
      <w:marRight w:val="0"/>
      <w:marTop w:val="0"/>
      <w:marBottom w:val="0"/>
      <w:divBdr>
        <w:top w:val="none" w:sz="0" w:space="0" w:color="auto"/>
        <w:left w:val="none" w:sz="0" w:space="0" w:color="auto"/>
        <w:bottom w:val="none" w:sz="0" w:space="0" w:color="auto"/>
        <w:right w:val="none" w:sz="0" w:space="0" w:color="auto"/>
      </w:divBdr>
    </w:div>
    <w:div w:id="1250582236">
      <w:bodyDiv w:val="1"/>
      <w:marLeft w:val="0"/>
      <w:marRight w:val="0"/>
      <w:marTop w:val="0"/>
      <w:marBottom w:val="0"/>
      <w:divBdr>
        <w:top w:val="none" w:sz="0" w:space="0" w:color="auto"/>
        <w:left w:val="none" w:sz="0" w:space="0" w:color="auto"/>
        <w:bottom w:val="none" w:sz="0" w:space="0" w:color="auto"/>
        <w:right w:val="none" w:sz="0" w:space="0" w:color="auto"/>
      </w:divBdr>
    </w:div>
    <w:div w:id="1268198379">
      <w:bodyDiv w:val="1"/>
      <w:marLeft w:val="0"/>
      <w:marRight w:val="0"/>
      <w:marTop w:val="0"/>
      <w:marBottom w:val="0"/>
      <w:divBdr>
        <w:top w:val="none" w:sz="0" w:space="0" w:color="auto"/>
        <w:left w:val="none" w:sz="0" w:space="0" w:color="auto"/>
        <w:bottom w:val="none" w:sz="0" w:space="0" w:color="auto"/>
        <w:right w:val="none" w:sz="0" w:space="0" w:color="auto"/>
      </w:divBdr>
    </w:div>
    <w:div w:id="1268849448">
      <w:bodyDiv w:val="1"/>
      <w:marLeft w:val="0"/>
      <w:marRight w:val="0"/>
      <w:marTop w:val="0"/>
      <w:marBottom w:val="0"/>
      <w:divBdr>
        <w:top w:val="none" w:sz="0" w:space="0" w:color="auto"/>
        <w:left w:val="none" w:sz="0" w:space="0" w:color="auto"/>
        <w:bottom w:val="none" w:sz="0" w:space="0" w:color="auto"/>
        <w:right w:val="none" w:sz="0" w:space="0" w:color="auto"/>
      </w:divBdr>
    </w:div>
    <w:div w:id="1315908882">
      <w:bodyDiv w:val="1"/>
      <w:marLeft w:val="0"/>
      <w:marRight w:val="0"/>
      <w:marTop w:val="0"/>
      <w:marBottom w:val="0"/>
      <w:divBdr>
        <w:top w:val="none" w:sz="0" w:space="0" w:color="auto"/>
        <w:left w:val="none" w:sz="0" w:space="0" w:color="auto"/>
        <w:bottom w:val="none" w:sz="0" w:space="0" w:color="auto"/>
        <w:right w:val="none" w:sz="0" w:space="0" w:color="auto"/>
      </w:divBdr>
    </w:div>
    <w:div w:id="1316301525">
      <w:bodyDiv w:val="1"/>
      <w:marLeft w:val="0"/>
      <w:marRight w:val="0"/>
      <w:marTop w:val="0"/>
      <w:marBottom w:val="0"/>
      <w:divBdr>
        <w:top w:val="none" w:sz="0" w:space="0" w:color="auto"/>
        <w:left w:val="none" w:sz="0" w:space="0" w:color="auto"/>
        <w:bottom w:val="none" w:sz="0" w:space="0" w:color="auto"/>
        <w:right w:val="none" w:sz="0" w:space="0" w:color="auto"/>
      </w:divBdr>
    </w:div>
    <w:div w:id="1328245729">
      <w:bodyDiv w:val="1"/>
      <w:marLeft w:val="0"/>
      <w:marRight w:val="0"/>
      <w:marTop w:val="0"/>
      <w:marBottom w:val="0"/>
      <w:divBdr>
        <w:top w:val="none" w:sz="0" w:space="0" w:color="auto"/>
        <w:left w:val="none" w:sz="0" w:space="0" w:color="auto"/>
        <w:bottom w:val="none" w:sz="0" w:space="0" w:color="auto"/>
        <w:right w:val="none" w:sz="0" w:space="0" w:color="auto"/>
      </w:divBdr>
    </w:div>
    <w:div w:id="1344237720">
      <w:bodyDiv w:val="1"/>
      <w:marLeft w:val="0"/>
      <w:marRight w:val="0"/>
      <w:marTop w:val="0"/>
      <w:marBottom w:val="0"/>
      <w:divBdr>
        <w:top w:val="none" w:sz="0" w:space="0" w:color="auto"/>
        <w:left w:val="none" w:sz="0" w:space="0" w:color="auto"/>
        <w:bottom w:val="none" w:sz="0" w:space="0" w:color="auto"/>
        <w:right w:val="none" w:sz="0" w:space="0" w:color="auto"/>
      </w:divBdr>
    </w:div>
    <w:div w:id="1365472948">
      <w:bodyDiv w:val="1"/>
      <w:marLeft w:val="0"/>
      <w:marRight w:val="0"/>
      <w:marTop w:val="0"/>
      <w:marBottom w:val="0"/>
      <w:divBdr>
        <w:top w:val="none" w:sz="0" w:space="0" w:color="auto"/>
        <w:left w:val="none" w:sz="0" w:space="0" w:color="auto"/>
        <w:bottom w:val="none" w:sz="0" w:space="0" w:color="auto"/>
        <w:right w:val="none" w:sz="0" w:space="0" w:color="auto"/>
      </w:divBdr>
    </w:div>
    <w:div w:id="1435980194">
      <w:bodyDiv w:val="1"/>
      <w:marLeft w:val="0"/>
      <w:marRight w:val="0"/>
      <w:marTop w:val="0"/>
      <w:marBottom w:val="0"/>
      <w:divBdr>
        <w:top w:val="none" w:sz="0" w:space="0" w:color="auto"/>
        <w:left w:val="none" w:sz="0" w:space="0" w:color="auto"/>
        <w:bottom w:val="none" w:sz="0" w:space="0" w:color="auto"/>
        <w:right w:val="none" w:sz="0" w:space="0" w:color="auto"/>
      </w:divBdr>
    </w:div>
    <w:div w:id="1441874890">
      <w:bodyDiv w:val="1"/>
      <w:marLeft w:val="0"/>
      <w:marRight w:val="0"/>
      <w:marTop w:val="0"/>
      <w:marBottom w:val="0"/>
      <w:divBdr>
        <w:top w:val="none" w:sz="0" w:space="0" w:color="auto"/>
        <w:left w:val="none" w:sz="0" w:space="0" w:color="auto"/>
        <w:bottom w:val="none" w:sz="0" w:space="0" w:color="auto"/>
        <w:right w:val="none" w:sz="0" w:space="0" w:color="auto"/>
      </w:divBdr>
    </w:div>
    <w:div w:id="1458766179">
      <w:bodyDiv w:val="1"/>
      <w:marLeft w:val="0"/>
      <w:marRight w:val="0"/>
      <w:marTop w:val="0"/>
      <w:marBottom w:val="0"/>
      <w:divBdr>
        <w:top w:val="none" w:sz="0" w:space="0" w:color="auto"/>
        <w:left w:val="none" w:sz="0" w:space="0" w:color="auto"/>
        <w:bottom w:val="none" w:sz="0" w:space="0" w:color="auto"/>
        <w:right w:val="none" w:sz="0" w:space="0" w:color="auto"/>
      </w:divBdr>
    </w:div>
    <w:div w:id="1473253075">
      <w:bodyDiv w:val="1"/>
      <w:marLeft w:val="0"/>
      <w:marRight w:val="0"/>
      <w:marTop w:val="0"/>
      <w:marBottom w:val="0"/>
      <w:divBdr>
        <w:top w:val="none" w:sz="0" w:space="0" w:color="auto"/>
        <w:left w:val="none" w:sz="0" w:space="0" w:color="auto"/>
        <w:bottom w:val="none" w:sz="0" w:space="0" w:color="auto"/>
        <w:right w:val="none" w:sz="0" w:space="0" w:color="auto"/>
      </w:divBdr>
    </w:div>
    <w:div w:id="1506896359">
      <w:bodyDiv w:val="1"/>
      <w:marLeft w:val="0"/>
      <w:marRight w:val="0"/>
      <w:marTop w:val="0"/>
      <w:marBottom w:val="0"/>
      <w:divBdr>
        <w:top w:val="none" w:sz="0" w:space="0" w:color="auto"/>
        <w:left w:val="none" w:sz="0" w:space="0" w:color="auto"/>
        <w:bottom w:val="none" w:sz="0" w:space="0" w:color="auto"/>
        <w:right w:val="none" w:sz="0" w:space="0" w:color="auto"/>
      </w:divBdr>
    </w:div>
    <w:div w:id="1512721394">
      <w:bodyDiv w:val="1"/>
      <w:marLeft w:val="0"/>
      <w:marRight w:val="0"/>
      <w:marTop w:val="0"/>
      <w:marBottom w:val="0"/>
      <w:divBdr>
        <w:top w:val="none" w:sz="0" w:space="0" w:color="auto"/>
        <w:left w:val="none" w:sz="0" w:space="0" w:color="auto"/>
        <w:bottom w:val="none" w:sz="0" w:space="0" w:color="auto"/>
        <w:right w:val="none" w:sz="0" w:space="0" w:color="auto"/>
      </w:divBdr>
    </w:div>
    <w:div w:id="1516723917">
      <w:bodyDiv w:val="1"/>
      <w:marLeft w:val="0"/>
      <w:marRight w:val="0"/>
      <w:marTop w:val="0"/>
      <w:marBottom w:val="0"/>
      <w:divBdr>
        <w:top w:val="none" w:sz="0" w:space="0" w:color="auto"/>
        <w:left w:val="none" w:sz="0" w:space="0" w:color="auto"/>
        <w:bottom w:val="none" w:sz="0" w:space="0" w:color="auto"/>
        <w:right w:val="none" w:sz="0" w:space="0" w:color="auto"/>
      </w:divBdr>
    </w:div>
    <w:div w:id="1518227573">
      <w:bodyDiv w:val="1"/>
      <w:marLeft w:val="0"/>
      <w:marRight w:val="0"/>
      <w:marTop w:val="0"/>
      <w:marBottom w:val="0"/>
      <w:divBdr>
        <w:top w:val="none" w:sz="0" w:space="0" w:color="auto"/>
        <w:left w:val="none" w:sz="0" w:space="0" w:color="auto"/>
        <w:bottom w:val="none" w:sz="0" w:space="0" w:color="auto"/>
        <w:right w:val="none" w:sz="0" w:space="0" w:color="auto"/>
      </w:divBdr>
    </w:div>
    <w:div w:id="1553926878">
      <w:bodyDiv w:val="1"/>
      <w:marLeft w:val="0"/>
      <w:marRight w:val="0"/>
      <w:marTop w:val="0"/>
      <w:marBottom w:val="0"/>
      <w:divBdr>
        <w:top w:val="none" w:sz="0" w:space="0" w:color="auto"/>
        <w:left w:val="none" w:sz="0" w:space="0" w:color="auto"/>
        <w:bottom w:val="none" w:sz="0" w:space="0" w:color="auto"/>
        <w:right w:val="none" w:sz="0" w:space="0" w:color="auto"/>
      </w:divBdr>
    </w:div>
    <w:div w:id="1580868033">
      <w:bodyDiv w:val="1"/>
      <w:marLeft w:val="0"/>
      <w:marRight w:val="0"/>
      <w:marTop w:val="0"/>
      <w:marBottom w:val="0"/>
      <w:divBdr>
        <w:top w:val="none" w:sz="0" w:space="0" w:color="auto"/>
        <w:left w:val="none" w:sz="0" w:space="0" w:color="auto"/>
        <w:bottom w:val="none" w:sz="0" w:space="0" w:color="auto"/>
        <w:right w:val="none" w:sz="0" w:space="0" w:color="auto"/>
      </w:divBdr>
    </w:div>
    <w:div w:id="1595702157">
      <w:bodyDiv w:val="1"/>
      <w:marLeft w:val="0"/>
      <w:marRight w:val="0"/>
      <w:marTop w:val="0"/>
      <w:marBottom w:val="0"/>
      <w:divBdr>
        <w:top w:val="none" w:sz="0" w:space="0" w:color="auto"/>
        <w:left w:val="none" w:sz="0" w:space="0" w:color="auto"/>
        <w:bottom w:val="none" w:sz="0" w:space="0" w:color="auto"/>
        <w:right w:val="none" w:sz="0" w:space="0" w:color="auto"/>
      </w:divBdr>
    </w:div>
    <w:div w:id="1600333600">
      <w:bodyDiv w:val="1"/>
      <w:marLeft w:val="0"/>
      <w:marRight w:val="0"/>
      <w:marTop w:val="0"/>
      <w:marBottom w:val="0"/>
      <w:divBdr>
        <w:top w:val="none" w:sz="0" w:space="0" w:color="auto"/>
        <w:left w:val="none" w:sz="0" w:space="0" w:color="auto"/>
        <w:bottom w:val="none" w:sz="0" w:space="0" w:color="auto"/>
        <w:right w:val="none" w:sz="0" w:space="0" w:color="auto"/>
      </w:divBdr>
    </w:div>
    <w:div w:id="1624656038">
      <w:bodyDiv w:val="1"/>
      <w:marLeft w:val="0"/>
      <w:marRight w:val="0"/>
      <w:marTop w:val="0"/>
      <w:marBottom w:val="0"/>
      <w:divBdr>
        <w:top w:val="none" w:sz="0" w:space="0" w:color="auto"/>
        <w:left w:val="none" w:sz="0" w:space="0" w:color="auto"/>
        <w:bottom w:val="none" w:sz="0" w:space="0" w:color="auto"/>
        <w:right w:val="none" w:sz="0" w:space="0" w:color="auto"/>
      </w:divBdr>
    </w:div>
    <w:div w:id="1636641376">
      <w:bodyDiv w:val="1"/>
      <w:marLeft w:val="0"/>
      <w:marRight w:val="0"/>
      <w:marTop w:val="0"/>
      <w:marBottom w:val="0"/>
      <w:divBdr>
        <w:top w:val="none" w:sz="0" w:space="0" w:color="auto"/>
        <w:left w:val="none" w:sz="0" w:space="0" w:color="auto"/>
        <w:bottom w:val="none" w:sz="0" w:space="0" w:color="auto"/>
        <w:right w:val="none" w:sz="0" w:space="0" w:color="auto"/>
      </w:divBdr>
    </w:div>
    <w:div w:id="1649869157">
      <w:bodyDiv w:val="1"/>
      <w:marLeft w:val="0"/>
      <w:marRight w:val="0"/>
      <w:marTop w:val="0"/>
      <w:marBottom w:val="0"/>
      <w:divBdr>
        <w:top w:val="none" w:sz="0" w:space="0" w:color="auto"/>
        <w:left w:val="none" w:sz="0" w:space="0" w:color="auto"/>
        <w:bottom w:val="none" w:sz="0" w:space="0" w:color="auto"/>
        <w:right w:val="none" w:sz="0" w:space="0" w:color="auto"/>
      </w:divBdr>
    </w:div>
    <w:div w:id="1652826602">
      <w:bodyDiv w:val="1"/>
      <w:marLeft w:val="0"/>
      <w:marRight w:val="0"/>
      <w:marTop w:val="0"/>
      <w:marBottom w:val="0"/>
      <w:divBdr>
        <w:top w:val="none" w:sz="0" w:space="0" w:color="auto"/>
        <w:left w:val="none" w:sz="0" w:space="0" w:color="auto"/>
        <w:bottom w:val="none" w:sz="0" w:space="0" w:color="auto"/>
        <w:right w:val="none" w:sz="0" w:space="0" w:color="auto"/>
      </w:divBdr>
    </w:div>
    <w:div w:id="1695958658">
      <w:bodyDiv w:val="1"/>
      <w:marLeft w:val="0"/>
      <w:marRight w:val="0"/>
      <w:marTop w:val="0"/>
      <w:marBottom w:val="0"/>
      <w:divBdr>
        <w:top w:val="none" w:sz="0" w:space="0" w:color="auto"/>
        <w:left w:val="none" w:sz="0" w:space="0" w:color="auto"/>
        <w:bottom w:val="none" w:sz="0" w:space="0" w:color="auto"/>
        <w:right w:val="none" w:sz="0" w:space="0" w:color="auto"/>
      </w:divBdr>
    </w:div>
    <w:div w:id="1704283431">
      <w:bodyDiv w:val="1"/>
      <w:marLeft w:val="0"/>
      <w:marRight w:val="0"/>
      <w:marTop w:val="0"/>
      <w:marBottom w:val="0"/>
      <w:divBdr>
        <w:top w:val="none" w:sz="0" w:space="0" w:color="auto"/>
        <w:left w:val="none" w:sz="0" w:space="0" w:color="auto"/>
        <w:bottom w:val="none" w:sz="0" w:space="0" w:color="auto"/>
        <w:right w:val="none" w:sz="0" w:space="0" w:color="auto"/>
      </w:divBdr>
    </w:div>
    <w:div w:id="1717468324">
      <w:bodyDiv w:val="1"/>
      <w:marLeft w:val="0"/>
      <w:marRight w:val="0"/>
      <w:marTop w:val="0"/>
      <w:marBottom w:val="0"/>
      <w:divBdr>
        <w:top w:val="none" w:sz="0" w:space="0" w:color="auto"/>
        <w:left w:val="none" w:sz="0" w:space="0" w:color="auto"/>
        <w:bottom w:val="none" w:sz="0" w:space="0" w:color="auto"/>
        <w:right w:val="none" w:sz="0" w:space="0" w:color="auto"/>
      </w:divBdr>
    </w:div>
    <w:div w:id="1729911526">
      <w:bodyDiv w:val="1"/>
      <w:marLeft w:val="0"/>
      <w:marRight w:val="0"/>
      <w:marTop w:val="0"/>
      <w:marBottom w:val="0"/>
      <w:divBdr>
        <w:top w:val="none" w:sz="0" w:space="0" w:color="auto"/>
        <w:left w:val="none" w:sz="0" w:space="0" w:color="auto"/>
        <w:bottom w:val="none" w:sz="0" w:space="0" w:color="auto"/>
        <w:right w:val="none" w:sz="0" w:space="0" w:color="auto"/>
      </w:divBdr>
    </w:div>
    <w:div w:id="1804345158">
      <w:bodyDiv w:val="1"/>
      <w:marLeft w:val="0"/>
      <w:marRight w:val="0"/>
      <w:marTop w:val="0"/>
      <w:marBottom w:val="0"/>
      <w:divBdr>
        <w:top w:val="none" w:sz="0" w:space="0" w:color="auto"/>
        <w:left w:val="none" w:sz="0" w:space="0" w:color="auto"/>
        <w:bottom w:val="none" w:sz="0" w:space="0" w:color="auto"/>
        <w:right w:val="none" w:sz="0" w:space="0" w:color="auto"/>
      </w:divBdr>
    </w:div>
    <w:div w:id="1832211369">
      <w:bodyDiv w:val="1"/>
      <w:marLeft w:val="0"/>
      <w:marRight w:val="0"/>
      <w:marTop w:val="0"/>
      <w:marBottom w:val="0"/>
      <w:divBdr>
        <w:top w:val="none" w:sz="0" w:space="0" w:color="auto"/>
        <w:left w:val="none" w:sz="0" w:space="0" w:color="auto"/>
        <w:bottom w:val="none" w:sz="0" w:space="0" w:color="auto"/>
        <w:right w:val="none" w:sz="0" w:space="0" w:color="auto"/>
      </w:divBdr>
    </w:div>
    <w:div w:id="1839075773">
      <w:bodyDiv w:val="1"/>
      <w:marLeft w:val="0"/>
      <w:marRight w:val="0"/>
      <w:marTop w:val="0"/>
      <w:marBottom w:val="0"/>
      <w:divBdr>
        <w:top w:val="none" w:sz="0" w:space="0" w:color="auto"/>
        <w:left w:val="none" w:sz="0" w:space="0" w:color="auto"/>
        <w:bottom w:val="none" w:sz="0" w:space="0" w:color="auto"/>
        <w:right w:val="none" w:sz="0" w:space="0" w:color="auto"/>
      </w:divBdr>
    </w:div>
    <w:div w:id="1875999964">
      <w:bodyDiv w:val="1"/>
      <w:marLeft w:val="0"/>
      <w:marRight w:val="0"/>
      <w:marTop w:val="0"/>
      <w:marBottom w:val="0"/>
      <w:divBdr>
        <w:top w:val="none" w:sz="0" w:space="0" w:color="auto"/>
        <w:left w:val="none" w:sz="0" w:space="0" w:color="auto"/>
        <w:bottom w:val="none" w:sz="0" w:space="0" w:color="auto"/>
        <w:right w:val="none" w:sz="0" w:space="0" w:color="auto"/>
      </w:divBdr>
    </w:div>
    <w:div w:id="1884171019">
      <w:bodyDiv w:val="1"/>
      <w:marLeft w:val="0"/>
      <w:marRight w:val="0"/>
      <w:marTop w:val="0"/>
      <w:marBottom w:val="0"/>
      <w:divBdr>
        <w:top w:val="none" w:sz="0" w:space="0" w:color="auto"/>
        <w:left w:val="none" w:sz="0" w:space="0" w:color="auto"/>
        <w:bottom w:val="none" w:sz="0" w:space="0" w:color="auto"/>
        <w:right w:val="none" w:sz="0" w:space="0" w:color="auto"/>
      </w:divBdr>
    </w:div>
    <w:div w:id="1934238626">
      <w:bodyDiv w:val="1"/>
      <w:marLeft w:val="0"/>
      <w:marRight w:val="0"/>
      <w:marTop w:val="0"/>
      <w:marBottom w:val="0"/>
      <w:divBdr>
        <w:top w:val="none" w:sz="0" w:space="0" w:color="auto"/>
        <w:left w:val="none" w:sz="0" w:space="0" w:color="auto"/>
        <w:bottom w:val="none" w:sz="0" w:space="0" w:color="auto"/>
        <w:right w:val="none" w:sz="0" w:space="0" w:color="auto"/>
      </w:divBdr>
    </w:div>
    <w:div w:id="1941601024">
      <w:bodyDiv w:val="1"/>
      <w:marLeft w:val="0"/>
      <w:marRight w:val="0"/>
      <w:marTop w:val="0"/>
      <w:marBottom w:val="0"/>
      <w:divBdr>
        <w:top w:val="none" w:sz="0" w:space="0" w:color="auto"/>
        <w:left w:val="none" w:sz="0" w:space="0" w:color="auto"/>
        <w:bottom w:val="none" w:sz="0" w:space="0" w:color="auto"/>
        <w:right w:val="none" w:sz="0" w:space="0" w:color="auto"/>
      </w:divBdr>
    </w:div>
    <w:div w:id="1976982466">
      <w:bodyDiv w:val="1"/>
      <w:marLeft w:val="0"/>
      <w:marRight w:val="0"/>
      <w:marTop w:val="0"/>
      <w:marBottom w:val="0"/>
      <w:divBdr>
        <w:top w:val="none" w:sz="0" w:space="0" w:color="auto"/>
        <w:left w:val="none" w:sz="0" w:space="0" w:color="auto"/>
        <w:bottom w:val="none" w:sz="0" w:space="0" w:color="auto"/>
        <w:right w:val="none" w:sz="0" w:space="0" w:color="auto"/>
      </w:divBdr>
    </w:div>
    <w:div w:id="2007247653">
      <w:bodyDiv w:val="1"/>
      <w:marLeft w:val="0"/>
      <w:marRight w:val="0"/>
      <w:marTop w:val="0"/>
      <w:marBottom w:val="0"/>
      <w:divBdr>
        <w:top w:val="none" w:sz="0" w:space="0" w:color="auto"/>
        <w:left w:val="none" w:sz="0" w:space="0" w:color="auto"/>
        <w:bottom w:val="none" w:sz="0" w:space="0" w:color="auto"/>
        <w:right w:val="none" w:sz="0" w:space="0" w:color="auto"/>
      </w:divBdr>
      <w:divsChild>
        <w:div w:id="728695321">
          <w:marLeft w:val="0"/>
          <w:marRight w:val="0"/>
          <w:marTop w:val="0"/>
          <w:marBottom w:val="0"/>
          <w:divBdr>
            <w:top w:val="none" w:sz="0" w:space="0" w:color="auto"/>
            <w:left w:val="none" w:sz="0" w:space="0" w:color="auto"/>
            <w:bottom w:val="none" w:sz="0" w:space="0" w:color="auto"/>
            <w:right w:val="none" w:sz="0" w:space="0" w:color="auto"/>
          </w:divBdr>
          <w:divsChild>
            <w:div w:id="217933685">
              <w:marLeft w:val="0"/>
              <w:marRight w:val="0"/>
              <w:marTop w:val="0"/>
              <w:marBottom w:val="0"/>
              <w:divBdr>
                <w:top w:val="none" w:sz="0" w:space="0" w:color="auto"/>
                <w:left w:val="none" w:sz="0" w:space="0" w:color="auto"/>
                <w:bottom w:val="none" w:sz="0" w:space="0" w:color="auto"/>
                <w:right w:val="none" w:sz="0" w:space="0" w:color="auto"/>
              </w:divBdr>
              <w:divsChild>
                <w:div w:id="2100590721">
                  <w:marLeft w:val="0"/>
                  <w:marRight w:val="0"/>
                  <w:marTop w:val="0"/>
                  <w:marBottom w:val="0"/>
                  <w:divBdr>
                    <w:top w:val="none" w:sz="0" w:space="0" w:color="auto"/>
                    <w:left w:val="none" w:sz="0" w:space="0" w:color="auto"/>
                    <w:bottom w:val="none" w:sz="0" w:space="0" w:color="auto"/>
                    <w:right w:val="none" w:sz="0" w:space="0" w:color="auto"/>
                  </w:divBdr>
                  <w:divsChild>
                    <w:div w:id="1691486065">
                      <w:marLeft w:val="0"/>
                      <w:marRight w:val="0"/>
                      <w:marTop w:val="0"/>
                      <w:marBottom w:val="0"/>
                      <w:divBdr>
                        <w:top w:val="none" w:sz="0" w:space="0" w:color="auto"/>
                        <w:left w:val="none" w:sz="0" w:space="0" w:color="auto"/>
                        <w:bottom w:val="none" w:sz="0" w:space="0" w:color="auto"/>
                        <w:right w:val="none" w:sz="0" w:space="0" w:color="auto"/>
                      </w:divBdr>
                      <w:divsChild>
                        <w:div w:id="32459747">
                          <w:marLeft w:val="0"/>
                          <w:marRight w:val="0"/>
                          <w:marTop w:val="0"/>
                          <w:marBottom w:val="0"/>
                          <w:divBdr>
                            <w:top w:val="none" w:sz="0" w:space="0" w:color="auto"/>
                            <w:left w:val="none" w:sz="0" w:space="0" w:color="auto"/>
                            <w:bottom w:val="none" w:sz="0" w:space="0" w:color="auto"/>
                            <w:right w:val="none" w:sz="0" w:space="0" w:color="auto"/>
                          </w:divBdr>
                          <w:divsChild>
                            <w:div w:id="10200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8762">
      <w:bodyDiv w:val="1"/>
      <w:marLeft w:val="0"/>
      <w:marRight w:val="0"/>
      <w:marTop w:val="0"/>
      <w:marBottom w:val="0"/>
      <w:divBdr>
        <w:top w:val="none" w:sz="0" w:space="0" w:color="auto"/>
        <w:left w:val="none" w:sz="0" w:space="0" w:color="auto"/>
        <w:bottom w:val="none" w:sz="0" w:space="0" w:color="auto"/>
        <w:right w:val="none" w:sz="0" w:space="0" w:color="auto"/>
      </w:divBdr>
    </w:div>
    <w:div w:id="2057773059">
      <w:bodyDiv w:val="1"/>
      <w:marLeft w:val="0"/>
      <w:marRight w:val="0"/>
      <w:marTop w:val="0"/>
      <w:marBottom w:val="0"/>
      <w:divBdr>
        <w:top w:val="none" w:sz="0" w:space="0" w:color="auto"/>
        <w:left w:val="none" w:sz="0" w:space="0" w:color="auto"/>
        <w:bottom w:val="none" w:sz="0" w:space="0" w:color="auto"/>
        <w:right w:val="none" w:sz="0" w:space="0" w:color="auto"/>
      </w:divBdr>
    </w:div>
    <w:div w:id="2073120665">
      <w:bodyDiv w:val="1"/>
      <w:marLeft w:val="0"/>
      <w:marRight w:val="0"/>
      <w:marTop w:val="0"/>
      <w:marBottom w:val="0"/>
      <w:divBdr>
        <w:top w:val="none" w:sz="0" w:space="0" w:color="auto"/>
        <w:left w:val="none" w:sz="0" w:space="0" w:color="auto"/>
        <w:bottom w:val="none" w:sz="0" w:space="0" w:color="auto"/>
        <w:right w:val="none" w:sz="0" w:space="0" w:color="auto"/>
      </w:divBdr>
    </w:div>
    <w:div w:id="2079017103">
      <w:bodyDiv w:val="1"/>
      <w:marLeft w:val="0"/>
      <w:marRight w:val="0"/>
      <w:marTop w:val="0"/>
      <w:marBottom w:val="0"/>
      <w:divBdr>
        <w:top w:val="none" w:sz="0" w:space="0" w:color="auto"/>
        <w:left w:val="none" w:sz="0" w:space="0" w:color="auto"/>
        <w:bottom w:val="none" w:sz="0" w:space="0" w:color="auto"/>
        <w:right w:val="none" w:sz="0" w:space="0" w:color="auto"/>
      </w:divBdr>
    </w:div>
    <w:div w:id="211127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bi.gov.in/sebi_data/commondocs/jun-2023/Annexure-1_Government_Order_dated-February_02,2021_p.pdf" TargetMode="External"/><Relationship Id="rId13" Type="http://schemas.openxmlformats.org/officeDocument/2006/relationships/hyperlink" Target="https://www.sebi.gov.in/sebi_data/commondocs/jun-2023/Annexure-3_Corrigendum_Order_dated-March_15,2023_under_UAPA_p.pdf" TargetMode="External"/><Relationship Id="rId18" Type="http://schemas.openxmlformats.org/officeDocument/2006/relationships/hyperlink" Target="http://fiuindia.gov.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iuindia.gov.in/" TargetMode="External"/><Relationship Id="rId7" Type="http://schemas.openxmlformats.org/officeDocument/2006/relationships/endnotes" Target="endnotes.xml"/><Relationship Id="rId12" Type="http://schemas.openxmlformats.org/officeDocument/2006/relationships/hyperlink" Target="https://www.sebi.gov.in/sebi_data/commondocs/jun-2023/Annexure-3_Corrigendum_Order_dated-March_15,2023_under_UAPA_p.pdf" TargetMode="External"/><Relationship Id="rId17" Type="http://schemas.openxmlformats.org/officeDocument/2006/relationships/hyperlink" Target="mailto:sebi_uapa@sebi.gov.i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n.org/securitycouncil/sanctions/1267/press-releases" TargetMode="External"/><Relationship Id="rId20" Type="http://schemas.openxmlformats.org/officeDocument/2006/relationships/hyperlink" Target="http://fiuindia.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bi.gov.in/sebi_data/commondocs/jun-2023/Annexure-2_Gazette_notification_dated-June_08,2021_p.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ebi.gov.in/sebi_data/commondocs/may-2024/Annex%204%20Designation%20of%20Central%20Nodal%20officer%20MHA%20Corrigendum%20April%2022,%202024_p.pdf" TargetMode="External"/><Relationship Id="rId23" Type="http://schemas.openxmlformats.org/officeDocument/2006/relationships/header" Target="header1.xml"/><Relationship Id="rId10" Type="http://schemas.openxmlformats.org/officeDocument/2006/relationships/hyperlink" Target="https://www.sebi.gov.in/sebi_data/commondocs/jun-2023/Annexure-2_Gazette_notification_dated-June_08,2021_p.pdf" TargetMode="External"/><Relationship Id="rId19" Type="http://schemas.openxmlformats.org/officeDocument/2006/relationships/hyperlink" Target="http://fiuindia.gov.in/" TargetMode="External"/><Relationship Id="rId4" Type="http://schemas.openxmlformats.org/officeDocument/2006/relationships/settings" Target="settings.xml"/><Relationship Id="rId9" Type="http://schemas.openxmlformats.org/officeDocument/2006/relationships/hyperlink" Target="https://www.sebi.gov.in/sebi_data/commondocs/jun-2023/Annexure-1_Government_Order_dated-February_02,2021_p.pdf" TargetMode="External"/><Relationship Id="rId14" Type="http://schemas.openxmlformats.org/officeDocument/2006/relationships/hyperlink" Target="https://www.sebi.gov.in/sebi_data/commondocs/may-2024/Annex%204%20Designation%20of%20Central%20Nodal%20officer%20MHA%20Corrigendum%20April%2022,%202024_p.pdf" TargetMode="External"/><Relationship Id="rId22" Type="http://schemas.openxmlformats.org/officeDocument/2006/relationships/hyperlink" Target="https://www.sebi.gov.in/sebi_data/commondocs/jun2024/Reporting_Format_p.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F8DE-A604-4055-A591-7BBC10011275}">
  <ds:schemaRefs>
    <ds:schemaRef ds:uri="http://schemas.openxmlformats.org/officeDocument/2006/bibliography"/>
  </ds:schemaRefs>
</ds:datastoreItem>
</file>

<file path=docMetadata/LabelInfo.xml><?xml version="1.0" encoding="utf-8"?>
<clbl:labelList xmlns:clbl="http://schemas.microsoft.com/office/2020/mipLabelMetadata">
  <clbl:label id="{a69ed928-faab-4e4b-bafb-a6ecd5c9b5ef}" enabled="0" method="" siteId="{a69ed928-faab-4e4b-bafb-a6ecd5c9b5ef}" removed="1"/>
</clbl:labelList>
</file>

<file path=docProps/app.xml><?xml version="1.0" encoding="utf-8"?>
<Properties xmlns="http://schemas.openxmlformats.org/officeDocument/2006/extended-properties" xmlns:vt="http://schemas.openxmlformats.org/officeDocument/2006/docPropsVTypes">
  <Template>Normal</Template>
  <TotalTime>4098</TotalTime>
  <Pages>32</Pages>
  <Words>12016</Words>
  <Characters>68495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Gupta (EXT)</dc:creator>
  <cp:keywords/>
  <dc:description/>
  <cp:lastModifiedBy>Sanjay Shah</cp:lastModifiedBy>
  <cp:revision>445</cp:revision>
  <dcterms:created xsi:type="dcterms:W3CDTF">2025-01-20T06:18:00Z</dcterms:created>
  <dcterms:modified xsi:type="dcterms:W3CDTF">2026-05-09T12:45:00Z</dcterms:modified>
</cp:coreProperties>
</file>