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95F8E" w14:textId="77777777" w:rsidR="00937CC2" w:rsidRPr="00EA4BD1" w:rsidRDefault="00937CC2" w:rsidP="00444BB2">
      <w:pPr>
        <w:jc w:val="both"/>
        <w:rPr>
          <w:rFonts w:ascii="Bookman Old Style" w:hAnsi="Bookman Old Style" w:cs="Calibri"/>
        </w:rPr>
      </w:pPr>
    </w:p>
    <w:p w14:paraId="568B8DBF" w14:textId="77777777" w:rsidR="00937CC2" w:rsidRPr="00EA4BD1" w:rsidRDefault="00937CC2" w:rsidP="00444BB2">
      <w:pPr>
        <w:jc w:val="both"/>
        <w:rPr>
          <w:rFonts w:ascii="Bookman Old Style" w:hAnsi="Bookman Old Style" w:cs="Calibri"/>
        </w:rPr>
      </w:pPr>
    </w:p>
    <w:p w14:paraId="4FCFA0D8" w14:textId="77777777" w:rsidR="00937CC2" w:rsidRPr="00EA4BD1" w:rsidRDefault="00937CC2" w:rsidP="00444BB2">
      <w:pPr>
        <w:jc w:val="both"/>
        <w:rPr>
          <w:rFonts w:ascii="Bookman Old Style" w:hAnsi="Bookman Old Style" w:cs="Calibri"/>
        </w:rPr>
      </w:pPr>
    </w:p>
    <w:p w14:paraId="0495D964" w14:textId="77777777" w:rsidR="00937CC2" w:rsidRPr="00EA4BD1" w:rsidRDefault="00937CC2" w:rsidP="00444BB2">
      <w:pPr>
        <w:jc w:val="both"/>
        <w:rPr>
          <w:rFonts w:ascii="Bookman Old Style" w:hAnsi="Bookman Old Style" w:cs="Calibri"/>
        </w:rPr>
      </w:pPr>
    </w:p>
    <w:p w14:paraId="33249818" w14:textId="77777777" w:rsidR="00937CC2" w:rsidRPr="00EA4BD1" w:rsidRDefault="00937CC2" w:rsidP="00444BB2">
      <w:pPr>
        <w:jc w:val="both"/>
        <w:rPr>
          <w:rFonts w:ascii="Bookman Old Style" w:hAnsi="Bookman Old Style" w:cs="Calibri"/>
        </w:rPr>
      </w:pPr>
    </w:p>
    <w:p w14:paraId="731DD716" w14:textId="77777777" w:rsidR="00937CC2" w:rsidRPr="00EA4BD1" w:rsidRDefault="00937CC2" w:rsidP="00444BB2">
      <w:pPr>
        <w:jc w:val="both"/>
        <w:rPr>
          <w:rFonts w:ascii="Bookman Old Style" w:hAnsi="Bookman Old Style" w:cs="Calibri"/>
        </w:rPr>
      </w:pPr>
    </w:p>
    <w:p w14:paraId="2D6846CF" w14:textId="77777777" w:rsidR="00937CC2" w:rsidRPr="00EA4BD1" w:rsidRDefault="00937CC2" w:rsidP="00444BB2">
      <w:pPr>
        <w:jc w:val="both"/>
        <w:rPr>
          <w:rFonts w:ascii="Bookman Old Style" w:hAnsi="Bookman Old Style" w:cs="Calibri"/>
        </w:rPr>
      </w:pPr>
    </w:p>
    <w:p w14:paraId="089777D7" w14:textId="77777777" w:rsidR="008F3CC4" w:rsidRDefault="008F3CC4" w:rsidP="00FB259F">
      <w:pPr>
        <w:spacing w:before="100" w:after="200" w:line="276" w:lineRule="auto"/>
        <w:rPr>
          <w:rFonts w:ascii="Bookman Old Style" w:eastAsiaTheme="majorEastAsia" w:hAnsi="Bookman Old Style" w:cs="Calibri"/>
          <w:b/>
          <w:bCs/>
          <w:caps/>
          <w:color w:val="000000" w:themeColor="text1"/>
          <w:kern w:val="0"/>
          <w:lang w:val="en-US"/>
          <w14:ligatures w14:val="none"/>
        </w:rPr>
      </w:pPr>
    </w:p>
    <w:p w14:paraId="2A30867C" w14:textId="77777777" w:rsidR="00FB259F" w:rsidRDefault="00FB259F" w:rsidP="00FB259F">
      <w:pPr>
        <w:spacing w:before="100" w:after="200" w:line="276" w:lineRule="auto"/>
        <w:rPr>
          <w:rFonts w:ascii="Bookman Old Style" w:eastAsiaTheme="majorEastAsia" w:hAnsi="Bookman Old Style" w:cstheme="majorBidi"/>
          <w:caps/>
          <w:color w:val="156082" w:themeColor="accent1"/>
          <w:kern w:val="0"/>
          <w:sz w:val="52"/>
          <w:szCs w:val="52"/>
          <w:lang w:val="en-US"/>
          <w14:ligatures w14:val="none"/>
        </w:rPr>
      </w:pPr>
    </w:p>
    <w:p w14:paraId="581703E2" w14:textId="622D5290" w:rsidR="00AD0E17" w:rsidRPr="00AC29C9" w:rsidRDefault="00C23230" w:rsidP="00DE0D23">
      <w:pPr>
        <w:spacing w:before="100" w:after="200" w:line="276" w:lineRule="auto"/>
        <w:jc w:val="center"/>
        <w:rPr>
          <w:rFonts w:ascii="Bookman Old Style" w:eastAsiaTheme="majorEastAsia" w:hAnsi="Bookman Old Style" w:cstheme="majorBidi"/>
          <w:caps/>
          <w:color w:val="156082" w:themeColor="accent1"/>
          <w:kern w:val="0"/>
          <w:sz w:val="52"/>
          <w:szCs w:val="52"/>
          <w:lang w:val="en-US"/>
          <w14:ligatures w14:val="none"/>
        </w:rPr>
      </w:pPr>
      <w:r w:rsidRPr="00AC29C9">
        <w:rPr>
          <w:rFonts w:ascii="Bookman Old Style" w:eastAsiaTheme="majorEastAsia" w:hAnsi="Bookman Old Style" w:cstheme="majorBidi"/>
          <w:caps/>
          <w:color w:val="156082" w:themeColor="accent1"/>
          <w:kern w:val="0"/>
          <w:sz w:val="52"/>
          <w:szCs w:val="52"/>
          <w:lang w:val="en-US"/>
          <w14:ligatures w14:val="none"/>
        </w:rPr>
        <w:t>Business Continuity and Disaster Recovery (BCDR) Policy</w:t>
      </w:r>
    </w:p>
    <w:p w14:paraId="1BB4F3D3" w14:textId="3DAD6401" w:rsidR="00F34C76" w:rsidRPr="00EA4BD1" w:rsidRDefault="00E34556" w:rsidP="000125BC">
      <w:pPr>
        <w:jc w:val="center"/>
        <w:rPr>
          <w:rFonts w:ascii="Bookman Old Style" w:hAnsi="Bookman Old Style" w:cs="Calibri"/>
          <w:b/>
        </w:rPr>
      </w:pPr>
      <w:proofErr w:type="spellStart"/>
      <w:r>
        <w:rPr>
          <w:rFonts w:ascii="Bookman Old Style" w:hAnsi="Bookman Old Style" w:cs="Calibri"/>
          <w:b/>
        </w:rPr>
        <w:t>companyfullname</w:t>
      </w:r>
      <w:proofErr w:type="spellEnd"/>
    </w:p>
    <w:p w14:paraId="3888A258" w14:textId="77777777" w:rsidR="00F34C76" w:rsidRPr="00EA4BD1" w:rsidRDefault="00F34C76" w:rsidP="00444BB2">
      <w:pPr>
        <w:jc w:val="both"/>
        <w:rPr>
          <w:rFonts w:ascii="Bookman Old Style" w:hAnsi="Bookman Old Style" w:cs="Calibri"/>
          <w:b/>
        </w:rPr>
      </w:pPr>
    </w:p>
    <w:p w14:paraId="711A9667" w14:textId="77777777" w:rsidR="00F34C76" w:rsidRPr="00EA4BD1" w:rsidRDefault="00F34C76" w:rsidP="00444BB2">
      <w:pPr>
        <w:jc w:val="both"/>
        <w:rPr>
          <w:rFonts w:ascii="Bookman Old Style" w:hAnsi="Bookman Old Style" w:cs="Calibri"/>
          <w:b/>
        </w:rPr>
      </w:pPr>
    </w:p>
    <w:p w14:paraId="0603B957" w14:textId="77777777" w:rsidR="00F34C76" w:rsidRPr="00EA4BD1" w:rsidRDefault="00F34C76" w:rsidP="00444BB2">
      <w:pPr>
        <w:jc w:val="both"/>
        <w:rPr>
          <w:rFonts w:ascii="Bookman Old Style" w:hAnsi="Bookman Old Style" w:cs="Calibri"/>
          <w:b/>
        </w:rPr>
      </w:pPr>
    </w:p>
    <w:p w14:paraId="443E09B5" w14:textId="77777777" w:rsidR="00F34C76" w:rsidRPr="00EA4BD1" w:rsidRDefault="00F34C76" w:rsidP="00444BB2">
      <w:pPr>
        <w:jc w:val="both"/>
        <w:rPr>
          <w:rFonts w:ascii="Bookman Old Style" w:hAnsi="Bookman Old Style" w:cs="Calibri"/>
          <w:b/>
        </w:rPr>
      </w:pPr>
    </w:p>
    <w:p w14:paraId="7FCE00D4" w14:textId="77777777" w:rsidR="00F34C76" w:rsidRPr="00EA4BD1" w:rsidRDefault="00F34C76" w:rsidP="00444BB2">
      <w:pPr>
        <w:jc w:val="both"/>
        <w:rPr>
          <w:rFonts w:ascii="Bookman Old Style" w:hAnsi="Bookman Old Style" w:cs="Calibri"/>
          <w:b/>
        </w:rPr>
      </w:pPr>
    </w:p>
    <w:p w14:paraId="0C0781AE" w14:textId="77777777" w:rsidR="00F34C76" w:rsidRPr="00EA4BD1" w:rsidRDefault="00F34C76" w:rsidP="00444BB2">
      <w:pPr>
        <w:jc w:val="both"/>
        <w:rPr>
          <w:rFonts w:ascii="Bookman Old Style" w:hAnsi="Bookman Old Style" w:cs="Calibri"/>
          <w:b/>
        </w:rPr>
      </w:pPr>
    </w:p>
    <w:p w14:paraId="433F011C" w14:textId="77777777" w:rsidR="00DE0D23" w:rsidRPr="00EA4BD1" w:rsidRDefault="00DE0D23">
      <w:pPr>
        <w:rPr>
          <w:rFonts w:ascii="Bookman Old Style" w:hAnsi="Bookman Old Style" w:cs="Calibri"/>
          <w:kern w:val="0"/>
          <w:lang w:val="en-GB" w:eastAsia="en-GB"/>
          <w14:ligatures w14:val="none"/>
        </w:rPr>
      </w:pPr>
      <w:r w:rsidRPr="00EA4BD1">
        <w:rPr>
          <w:rFonts w:ascii="Bookman Old Style" w:hAnsi="Bookman Old Style" w:cs="Calibri"/>
        </w:rPr>
        <w:br w:type="page"/>
      </w:r>
    </w:p>
    <w:p w14:paraId="2EC8E101" w14:textId="77777777" w:rsidR="00C23230" w:rsidRPr="00EA4BD1" w:rsidRDefault="00C23230" w:rsidP="00DE0D23">
      <w:pPr>
        <w:pStyle w:val="BodyText"/>
        <w:spacing w:after="200" w:line="276" w:lineRule="auto"/>
        <w:jc w:val="both"/>
        <w:rPr>
          <w:rFonts w:ascii="Bookman Old Style" w:eastAsiaTheme="minorHAnsi" w:hAnsi="Bookman Old Style" w:cs="Calibri"/>
          <w:sz w:val="22"/>
          <w:szCs w:val="22"/>
        </w:rPr>
      </w:pPr>
    </w:p>
    <w:sdt>
      <w:sdtPr>
        <w:rPr>
          <w:rFonts w:ascii="Bookman Old Style" w:eastAsiaTheme="minorEastAsia" w:hAnsi="Bookman Old Style" w:cs="Calibri"/>
          <w:b/>
          <w:bCs/>
          <w:color w:val="auto"/>
          <w:kern w:val="2"/>
          <w:sz w:val="22"/>
          <w:szCs w:val="22"/>
          <w:lang w:val="en-IN"/>
          <w14:ligatures w14:val="standardContextual"/>
        </w:rPr>
        <w:id w:val="2022498950"/>
        <w:docPartObj>
          <w:docPartGallery w:val="Table of Contents"/>
          <w:docPartUnique/>
        </w:docPartObj>
      </w:sdtPr>
      <w:sdtEndPr>
        <w:rPr>
          <w:rFonts w:eastAsiaTheme="minorHAnsi"/>
          <w:b w:val="0"/>
          <w:bCs w:val="0"/>
          <w:noProof/>
        </w:rPr>
      </w:sdtEndPr>
      <w:sdtContent>
        <w:p w14:paraId="754C1B5A" w14:textId="09D00055" w:rsidR="00C970FC" w:rsidRPr="00EA4BD1" w:rsidRDefault="00DE1F39" w:rsidP="00444BB2">
          <w:pPr>
            <w:pStyle w:val="TOCHeading"/>
            <w:jc w:val="both"/>
            <w:rPr>
              <w:rFonts w:ascii="Bookman Old Style" w:eastAsiaTheme="minorEastAsia" w:hAnsi="Bookman Old Style" w:cs="Calibri"/>
              <w:b/>
              <w:bCs/>
              <w:color w:val="auto"/>
              <w:sz w:val="22"/>
              <w:szCs w:val="22"/>
            </w:rPr>
          </w:pPr>
          <w:r w:rsidRPr="00EA4BD1">
            <w:rPr>
              <w:rFonts w:ascii="Bookman Old Style" w:eastAsiaTheme="minorEastAsia" w:hAnsi="Bookman Old Style" w:cs="Calibri"/>
              <w:b/>
              <w:bCs/>
              <w:color w:val="auto"/>
              <w:sz w:val="22"/>
              <w:szCs w:val="22"/>
            </w:rPr>
            <w:t xml:space="preserve">Table of Contents </w:t>
          </w:r>
        </w:p>
        <w:p w14:paraId="27C6A637" w14:textId="77777777" w:rsidR="00991159" w:rsidRPr="00EA4BD1" w:rsidRDefault="00991159" w:rsidP="00444BB2">
          <w:pPr>
            <w:jc w:val="both"/>
            <w:rPr>
              <w:rFonts w:ascii="Bookman Old Style" w:hAnsi="Bookman Old Style" w:cs="Calibri"/>
              <w:lang w:val="en-US"/>
            </w:rPr>
          </w:pPr>
        </w:p>
        <w:p w14:paraId="68A706BD" w14:textId="603C6372" w:rsidR="00F8773D" w:rsidRDefault="00C970FC">
          <w:pPr>
            <w:pStyle w:val="TOC1"/>
            <w:tabs>
              <w:tab w:val="right" w:leader="dot" w:pos="9016"/>
            </w:tabs>
            <w:rPr>
              <w:rFonts w:eastAsiaTheme="minorEastAsia"/>
              <w:noProof/>
              <w:sz w:val="24"/>
              <w:szCs w:val="24"/>
              <w:lang w:eastAsia="en-IN"/>
            </w:rPr>
          </w:pPr>
          <w:r w:rsidRPr="00EA4BD1">
            <w:rPr>
              <w:rFonts w:ascii="Bookman Old Style" w:hAnsi="Bookman Old Style" w:cs="Calibri"/>
            </w:rPr>
            <w:fldChar w:fldCharType="begin"/>
          </w:r>
          <w:r w:rsidRPr="00EA4BD1">
            <w:rPr>
              <w:rFonts w:ascii="Bookman Old Style" w:hAnsi="Bookman Old Style" w:cs="Calibri"/>
            </w:rPr>
            <w:instrText xml:space="preserve"> TOC \o "1-3" \h \z \u </w:instrText>
          </w:r>
          <w:r w:rsidRPr="00EA4BD1">
            <w:rPr>
              <w:rFonts w:ascii="Bookman Old Style" w:hAnsi="Bookman Old Style" w:cs="Calibri"/>
            </w:rPr>
            <w:fldChar w:fldCharType="separate"/>
          </w:r>
          <w:hyperlink w:anchor="_Toc213150708" w:history="1">
            <w:r w:rsidR="00F8773D" w:rsidRPr="00D2189B">
              <w:rPr>
                <w:rStyle w:val="Hyperlink"/>
                <w:rFonts w:ascii="Bookman Old Style" w:hAnsi="Bookman Old Style" w:cs="Arial"/>
                <w:caps/>
                <w:noProof/>
                <w:kern w:val="0"/>
                <w:lang w:val="en-US"/>
                <w14:ligatures w14:val="none"/>
              </w:rPr>
              <w:t>INTRODUCTION/ BACKGROUND</w:t>
            </w:r>
            <w:r w:rsidR="00F8773D">
              <w:rPr>
                <w:noProof/>
                <w:webHidden/>
              </w:rPr>
              <w:tab/>
            </w:r>
            <w:r w:rsidR="00F8773D">
              <w:rPr>
                <w:noProof/>
                <w:webHidden/>
              </w:rPr>
              <w:fldChar w:fldCharType="begin"/>
            </w:r>
            <w:r w:rsidR="00F8773D">
              <w:rPr>
                <w:noProof/>
                <w:webHidden/>
              </w:rPr>
              <w:instrText xml:space="preserve"> PAGEREF _Toc213150708 \h </w:instrText>
            </w:r>
            <w:r w:rsidR="00F8773D">
              <w:rPr>
                <w:noProof/>
                <w:webHidden/>
              </w:rPr>
            </w:r>
            <w:r w:rsidR="00F8773D">
              <w:rPr>
                <w:noProof/>
                <w:webHidden/>
              </w:rPr>
              <w:fldChar w:fldCharType="separate"/>
            </w:r>
            <w:r w:rsidR="00F8773D">
              <w:rPr>
                <w:noProof/>
                <w:webHidden/>
              </w:rPr>
              <w:t>3</w:t>
            </w:r>
            <w:r w:rsidR="00F8773D">
              <w:rPr>
                <w:noProof/>
                <w:webHidden/>
              </w:rPr>
              <w:fldChar w:fldCharType="end"/>
            </w:r>
          </w:hyperlink>
        </w:p>
        <w:p w14:paraId="6ABA710D" w14:textId="68E5724A" w:rsidR="00F8773D" w:rsidRDefault="00F8773D">
          <w:pPr>
            <w:pStyle w:val="TOC1"/>
            <w:tabs>
              <w:tab w:val="right" w:leader="dot" w:pos="9016"/>
            </w:tabs>
            <w:rPr>
              <w:rFonts w:eastAsiaTheme="minorEastAsia"/>
              <w:noProof/>
              <w:sz w:val="24"/>
              <w:szCs w:val="24"/>
              <w:lang w:eastAsia="en-IN"/>
            </w:rPr>
          </w:pPr>
          <w:hyperlink w:anchor="_Toc213150709" w:history="1">
            <w:r w:rsidRPr="00D2189B">
              <w:rPr>
                <w:rStyle w:val="Hyperlink"/>
                <w:rFonts w:ascii="Bookman Old Style" w:hAnsi="Bookman Old Style" w:cs="Arial"/>
                <w:caps/>
                <w:noProof/>
                <w:kern w:val="0"/>
                <w:lang w:val="en-US"/>
                <w14:ligatures w14:val="none"/>
              </w:rPr>
              <w:t>SCOPE</w:t>
            </w:r>
            <w:r>
              <w:rPr>
                <w:noProof/>
                <w:webHidden/>
              </w:rPr>
              <w:tab/>
            </w:r>
            <w:r>
              <w:rPr>
                <w:noProof/>
                <w:webHidden/>
              </w:rPr>
              <w:fldChar w:fldCharType="begin"/>
            </w:r>
            <w:r>
              <w:rPr>
                <w:noProof/>
                <w:webHidden/>
              </w:rPr>
              <w:instrText xml:space="preserve"> PAGEREF _Toc213150709 \h </w:instrText>
            </w:r>
            <w:r>
              <w:rPr>
                <w:noProof/>
                <w:webHidden/>
              </w:rPr>
            </w:r>
            <w:r>
              <w:rPr>
                <w:noProof/>
                <w:webHidden/>
              </w:rPr>
              <w:fldChar w:fldCharType="separate"/>
            </w:r>
            <w:r>
              <w:rPr>
                <w:noProof/>
                <w:webHidden/>
              </w:rPr>
              <w:t>3</w:t>
            </w:r>
            <w:r>
              <w:rPr>
                <w:noProof/>
                <w:webHidden/>
              </w:rPr>
              <w:fldChar w:fldCharType="end"/>
            </w:r>
          </w:hyperlink>
        </w:p>
        <w:p w14:paraId="0D8FEB40" w14:textId="54B9241B" w:rsidR="00F8773D" w:rsidRDefault="00F8773D">
          <w:pPr>
            <w:pStyle w:val="TOC1"/>
            <w:tabs>
              <w:tab w:val="right" w:leader="dot" w:pos="9016"/>
            </w:tabs>
            <w:rPr>
              <w:rFonts w:eastAsiaTheme="minorEastAsia"/>
              <w:noProof/>
              <w:sz w:val="24"/>
              <w:szCs w:val="24"/>
              <w:lang w:eastAsia="en-IN"/>
            </w:rPr>
          </w:pPr>
          <w:hyperlink w:anchor="_Toc213150710" w:history="1">
            <w:r w:rsidRPr="00D2189B">
              <w:rPr>
                <w:rStyle w:val="Hyperlink"/>
                <w:rFonts w:ascii="Bookman Old Style" w:hAnsi="Bookman Old Style" w:cs="Arial"/>
                <w:caps/>
                <w:noProof/>
                <w:kern w:val="0"/>
                <w:lang w:val="en-US"/>
                <w14:ligatures w14:val="none"/>
              </w:rPr>
              <w:t>PURPOSE</w:t>
            </w:r>
            <w:r>
              <w:rPr>
                <w:noProof/>
                <w:webHidden/>
              </w:rPr>
              <w:tab/>
            </w:r>
            <w:r>
              <w:rPr>
                <w:noProof/>
                <w:webHidden/>
              </w:rPr>
              <w:fldChar w:fldCharType="begin"/>
            </w:r>
            <w:r>
              <w:rPr>
                <w:noProof/>
                <w:webHidden/>
              </w:rPr>
              <w:instrText xml:space="preserve"> PAGEREF _Toc213150710 \h </w:instrText>
            </w:r>
            <w:r>
              <w:rPr>
                <w:noProof/>
                <w:webHidden/>
              </w:rPr>
            </w:r>
            <w:r>
              <w:rPr>
                <w:noProof/>
                <w:webHidden/>
              </w:rPr>
              <w:fldChar w:fldCharType="separate"/>
            </w:r>
            <w:r>
              <w:rPr>
                <w:noProof/>
                <w:webHidden/>
              </w:rPr>
              <w:t>3</w:t>
            </w:r>
            <w:r>
              <w:rPr>
                <w:noProof/>
                <w:webHidden/>
              </w:rPr>
              <w:fldChar w:fldCharType="end"/>
            </w:r>
          </w:hyperlink>
        </w:p>
        <w:p w14:paraId="65409C76" w14:textId="023E123B" w:rsidR="00F8773D" w:rsidRDefault="00F8773D">
          <w:pPr>
            <w:pStyle w:val="TOC1"/>
            <w:tabs>
              <w:tab w:val="right" w:leader="dot" w:pos="9016"/>
            </w:tabs>
            <w:rPr>
              <w:rFonts w:eastAsiaTheme="minorEastAsia"/>
              <w:noProof/>
              <w:sz w:val="24"/>
              <w:szCs w:val="24"/>
              <w:lang w:eastAsia="en-IN"/>
            </w:rPr>
          </w:pPr>
          <w:hyperlink w:anchor="_Toc213150711" w:history="1">
            <w:r w:rsidRPr="00D2189B">
              <w:rPr>
                <w:rStyle w:val="Hyperlink"/>
                <w:rFonts w:ascii="Bookman Old Style" w:hAnsi="Bookman Old Style" w:cs="Arial"/>
                <w:caps/>
                <w:noProof/>
                <w:kern w:val="0"/>
                <w:lang w:val="en-US"/>
                <w14:ligatures w14:val="none"/>
              </w:rPr>
              <w:t>Roles and Responsibilities</w:t>
            </w:r>
            <w:r>
              <w:rPr>
                <w:noProof/>
                <w:webHidden/>
              </w:rPr>
              <w:tab/>
            </w:r>
            <w:r>
              <w:rPr>
                <w:noProof/>
                <w:webHidden/>
              </w:rPr>
              <w:fldChar w:fldCharType="begin"/>
            </w:r>
            <w:r>
              <w:rPr>
                <w:noProof/>
                <w:webHidden/>
              </w:rPr>
              <w:instrText xml:space="preserve"> PAGEREF _Toc213150711 \h </w:instrText>
            </w:r>
            <w:r>
              <w:rPr>
                <w:noProof/>
                <w:webHidden/>
              </w:rPr>
            </w:r>
            <w:r>
              <w:rPr>
                <w:noProof/>
                <w:webHidden/>
              </w:rPr>
              <w:fldChar w:fldCharType="separate"/>
            </w:r>
            <w:r>
              <w:rPr>
                <w:noProof/>
                <w:webHidden/>
              </w:rPr>
              <w:t>3</w:t>
            </w:r>
            <w:r>
              <w:rPr>
                <w:noProof/>
                <w:webHidden/>
              </w:rPr>
              <w:fldChar w:fldCharType="end"/>
            </w:r>
          </w:hyperlink>
        </w:p>
        <w:p w14:paraId="7ABF4D21" w14:textId="2A708A35" w:rsidR="00F8773D" w:rsidRDefault="00F8773D">
          <w:pPr>
            <w:pStyle w:val="TOC1"/>
            <w:tabs>
              <w:tab w:val="right" w:leader="dot" w:pos="9016"/>
            </w:tabs>
            <w:rPr>
              <w:rFonts w:eastAsiaTheme="minorEastAsia"/>
              <w:noProof/>
              <w:sz w:val="24"/>
              <w:szCs w:val="24"/>
              <w:lang w:eastAsia="en-IN"/>
            </w:rPr>
          </w:pPr>
          <w:hyperlink w:anchor="_Toc213150712" w:history="1">
            <w:r w:rsidRPr="00D2189B">
              <w:rPr>
                <w:rStyle w:val="Hyperlink"/>
                <w:rFonts w:ascii="Bookman Old Style" w:hAnsi="Bookman Old Style" w:cs="Arial"/>
                <w:caps/>
                <w:noProof/>
                <w:kern w:val="0"/>
                <w:lang w:val="en-US"/>
                <w14:ligatures w14:val="none"/>
              </w:rPr>
              <w:t>Components:</w:t>
            </w:r>
            <w:r>
              <w:rPr>
                <w:noProof/>
                <w:webHidden/>
              </w:rPr>
              <w:tab/>
            </w:r>
            <w:r>
              <w:rPr>
                <w:noProof/>
                <w:webHidden/>
              </w:rPr>
              <w:fldChar w:fldCharType="begin"/>
            </w:r>
            <w:r>
              <w:rPr>
                <w:noProof/>
                <w:webHidden/>
              </w:rPr>
              <w:instrText xml:space="preserve"> PAGEREF _Toc213150712 \h </w:instrText>
            </w:r>
            <w:r>
              <w:rPr>
                <w:noProof/>
                <w:webHidden/>
              </w:rPr>
            </w:r>
            <w:r>
              <w:rPr>
                <w:noProof/>
                <w:webHidden/>
              </w:rPr>
              <w:fldChar w:fldCharType="separate"/>
            </w:r>
            <w:r>
              <w:rPr>
                <w:noProof/>
                <w:webHidden/>
              </w:rPr>
              <w:t>4</w:t>
            </w:r>
            <w:r>
              <w:rPr>
                <w:noProof/>
                <w:webHidden/>
              </w:rPr>
              <w:fldChar w:fldCharType="end"/>
            </w:r>
          </w:hyperlink>
        </w:p>
        <w:p w14:paraId="17FEEB45" w14:textId="6180B71F" w:rsidR="00F8773D" w:rsidRDefault="00F8773D">
          <w:pPr>
            <w:pStyle w:val="TOC1"/>
            <w:tabs>
              <w:tab w:val="right" w:leader="dot" w:pos="9016"/>
            </w:tabs>
            <w:rPr>
              <w:rFonts w:eastAsiaTheme="minorEastAsia"/>
              <w:noProof/>
              <w:sz w:val="24"/>
              <w:szCs w:val="24"/>
              <w:lang w:eastAsia="en-IN"/>
            </w:rPr>
          </w:pPr>
          <w:hyperlink w:anchor="_Toc213150713" w:history="1">
            <w:r w:rsidRPr="00D2189B">
              <w:rPr>
                <w:rStyle w:val="Hyperlink"/>
                <w:rFonts w:ascii="Bookman Old Style" w:hAnsi="Bookman Old Style" w:cs="Arial"/>
                <w:caps/>
                <w:noProof/>
                <w:kern w:val="0"/>
                <w:lang w:val="en-US"/>
                <w14:ligatures w14:val="none"/>
              </w:rPr>
              <w:t>REVIEW OF THE POLICY AND UPDATE</w:t>
            </w:r>
            <w:r>
              <w:rPr>
                <w:noProof/>
                <w:webHidden/>
              </w:rPr>
              <w:tab/>
            </w:r>
            <w:r>
              <w:rPr>
                <w:noProof/>
                <w:webHidden/>
              </w:rPr>
              <w:fldChar w:fldCharType="begin"/>
            </w:r>
            <w:r>
              <w:rPr>
                <w:noProof/>
                <w:webHidden/>
              </w:rPr>
              <w:instrText xml:space="preserve"> PAGEREF _Toc213150713 \h </w:instrText>
            </w:r>
            <w:r>
              <w:rPr>
                <w:noProof/>
                <w:webHidden/>
              </w:rPr>
            </w:r>
            <w:r>
              <w:rPr>
                <w:noProof/>
                <w:webHidden/>
              </w:rPr>
              <w:fldChar w:fldCharType="separate"/>
            </w:r>
            <w:r>
              <w:rPr>
                <w:noProof/>
                <w:webHidden/>
              </w:rPr>
              <w:t>5</w:t>
            </w:r>
            <w:r>
              <w:rPr>
                <w:noProof/>
                <w:webHidden/>
              </w:rPr>
              <w:fldChar w:fldCharType="end"/>
            </w:r>
          </w:hyperlink>
        </w:p>
        <w:p w14:paraId="03C24B74" w14:textId="29946858" w:rsidR="00C970FC" w:rsidRPr="00EA4BD1" w:rsidRDefault="00C970FC" w:rsidP="00444BB2">
          <w:pPr>
            <w:jc w:val="both"/>
            <w:rPr>
              <w:rFonts w:ascii="Bookman Old Style" w:hAnsi="Bookman Old Style" w:cs="Calibri"/>
            </w:rPr>
          </w:pPr>
          <w:r w:rsidRPr="00EA4BD1">
            <w:rPr>
              <w:rFonts w:ascii="Bookman Old Style" w:hAnsi="Bookman Old Style" w:cs="Calibri"/>
              <w:noProof/>
            </w:rPr>
            <w:fldChar w:fldCharType="end"/>
          </w:r>
        </w:p>
      </w:sdtContent>
    </w:sdt>
    <w:p w14:paraId="4487E144" w14:textId="77777777" w:rsidR="00C970FC" w:rsidRPr="00EA4BD1" w:rsidRDefault="00C970FC" w:rsidP="00444BB2">
      <w:pPr>
        <w:jc w:val="both"/>
        <w:rPr>
          <w:rFonts w:ascii="Bookman Old Style" w:eastAsiaTheme="minorEastAsia" w:hAnsi="Bookman Old Style" w:cs="Calibri"/>
          <w:b/>
          <w:bCs/>
          <w:caps/>
          <w:color w:val="000000" w:themeColor="text1"/>
          <w:kern w:val="0"/>
          <w:u w:val="single"/>
          <w:lang w:val="en-US"/>
          <w14:ligatures w14:val="none"/>
        </w:rPr>
      </w:pPr>
      <w:r w:rsidRPr="00EA4BD1">
        <w:rPr>
          <w:rFonts w:ascii="Bookman Old Style" w:eastAsiaTheme="minorEastAsia" w:hAnsi="Bookman Old Style" w:cs="Calibri"/>
          <w:b/>
          <w:bCs/>
          <w:caps/>
          <w:color w:val="000000" w:themeColor="text1"/>
          <w:kern w:val="0"/>
          <w:u w:val="single"/>
          <w:lang w:val="en-US"/>
          <w14:ligatures w14:val="none"/>
        </w:rPr>
        <w:br w:type="page"/>
      </w:r>
    </w:p>
    <w:p w14:paraId="5DC96381" w14:textId="53B0E682" w:rsidR="00F06BCF" w:rsidRPr="00EA4BD1" w:rsidRDefault="00F06BCF" w:rsidP="002625F4">
      <w:pPr>
        <w:pStyle w:val="Heading1"/>
        <w:keepNext w:val="0"/>
        <w:keepLines w:val="0"/>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100" w:after="0" w:line="276" w:lineRule="auto"/>
        <w:jc w:val="both"/>
        <w:rPr>
          <w:rFonts w:ascii="Bookman Old Style" w:eastAsiaTheme="minorEastAsia" w:hAnsi="Bookman Old Style" w:cs="Arial"/>
          <w:caps/>
          <w:color w:val="FFFFFF" w:themeColor="background1"/>
          <w:kern w:val="0"/>
          <w:sz w:val="22"/>
          <w:szCs w:val="22"/>
          <w:lang w:val="en-US"/>
          <w14:ligatures w14:val="none"/>
        </w:rPr>
      </w:pPr>
      <w:bookmarkStart w:id="0" w:name="_Toc213150708"/>
      <w:r w:rsidRPr="00EA4BD1">
        <w:rPr>
          <w:rFonts w:ascii="Bookman Old Style" w:eastAsiaTheme="minorEastAsia" w:hAnsi="Bookman Old Style" w:cs="Arial"/>
          <w:caps/>
          <w:color w:val="FFFFFF" w:themeColor="background1"/>
          <w:kern w:val="0"/>
          <w:sz w:val="22"/>
          <w:szCs w:val="22"/>
          <w:lang w:val="en-US"/>
          <w14:ligatures w14:val="none"/>
        </w:rPr>
        <w:lastRenderedPageBreak/>
        <w:t>INTRODUCTION/ BACKGROUND</w:t>
      </w:r>
      <w:bookmarkEnd w:id="0"/>
    </w:p>
    <w:p w14:paraId="2C666941" w14:textId="13636D2B" w:rsidR="00923DB7" w:rsidRDefault="00E34556" w:rsidP="00923DB7">
      <w:pPr>
        <w:jc w:val="both"/>
        <w:rPr>
          <w:rFonts w:ascii="Bookman Old Style" w:hAnsi="Bookman Old Style" w:cs="Calibri"/>
          <w:lang w:val="en-US"/>
        </w:rPr>
      </w:pPr>
      <w:proofErr w:type="spellStart"/>
      <w:r>
        <w:rPr>
          <w:rFonts w:ascii="Bookman Old Style" w:hAnsi="Bookman Old Style" w:cs="Calibri"/>
          <w:lang w:val="en-US"/>
        </w:rPr>
        <w:t>companyintroduction</w:t>
      </w:r>
      <w:proofErr w:type="spellEnd"/>
      <w:r w:rsidR="007F459A" w:rsidRPr="007F459A">
        <w:rPr>
          <w:rFonts w:ascii="Bookman Old Style" w:hAnsi="Bookman Old Style" w:cs="Calibri"/>
          <w:lang w:val="en-US"/>
        </w:rPr>
        <w:t xml:space="preserve"> </w:t>
      </w:r>
    </w:p>
    <w:p w14:paraId="0D592A3E" w14:textId="77777777" w:rsidR="00A6039F" w:rsidRPr="00EA4BD1" w:rsidRDefault="00A6039F" w:rsidP="002625F4">
      <w:pPr>
        <w:pStyle w:val="Heading1"/>
        <w:keepNext w:val="0"/>
        <w:keepLines w:val="0"/>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100" w:after="0" w:line="276" w:lineRule="auto"/>
        <w:jc w:val="both"/>
        <w:rPr>
          <w:rFonts w:ascii="Bookman Old Style" w:eastAsiaTheme="minorEastAsia" w:hAnsi="Bookman Old Style" w:cs="Arial"/>
          <w:caps/>
          <w:color w:val="FFFFFF" w:themeColor="background1"/>
          <w:kern w:val="0"/>
          <w:sz w:val="22"/>
          <w:szCs w:val="22"/>
          <w:lang w:val="en-US"/>
          <w14:ligatures w14:val="none"/>
        </w:rPr>
      </w:pPr>
      <w:bookmarkStart w:id="1" w:name="_Toc213150709"/>
      <w:r w:rsidRPr="00EA4BD1">
        <w:rPr>
          <w:rFonts w:ascii="Bookman Old Style" w:eastAsiaTheme="minorEastAsia" w:hAnsi="Bookman Old Style" w:cs="Arial"/>
          <w:caps/>
          <w:color w:val="FFFFFF" w:themeColor="background1"/>
          <w:kern w:val="0"/>
          <w:sz w:val="22"/>
          <w:szCs w:val="22"/>
          <w:lang w:val="en-US"/>
          <w14:ligatures w14:val="none"/>
        </w:rPr>
        <w:t>SCOPE</w:t>
      </w:r>
      <w:bookmarkEnd w:id="1"/>
    </w:p>
    <w:p w14:paraId="641DE4FC" w14:textId="77777777" w:rsidR="007B39C5" w:rsidRPr="00EA4BD1" w:rsidRDefault="007B39C5" w:rsidP="00444BB2">
      <w:pPr>
        <w:jc w:val="both"/>
        <w:rPr>
          <w:rFonts w:ascii="Bookman Old Style" w:hAnsi="Bookman Old Style" w:cs="Calibri"/>
          <w:lang w:val="en-US"/>
        </w:rPr>
      </w:pPr>
      <w:r w:rsidRPr="00EA4BD1">
        <w:rPr>
          <w:rFonts w:ascii="Bookman Old Style" w:hAnsi="Bookman Old Style" w:cs="Calibri"/>
          <w:lang w:val="en-US"/>
        </w:rPr>
        <w:t>This policy applies to all business units, systems, applications, databases, communication networks, employees, and third-party service providers that are essential for the functioning of the PMS operations. It covers:</w:t>
      </w:r>
    </w:p>
    <w:p w14:paraId="4B64746F" w14:textId="77777777" w:rsidR="007B39C5" w:rsidRPr="00EA4BD1" w:rsidRDefault="007B39C5" w:rsidP="0008131E">
      <w:pPr>
        <w:pStyle w:val="ListParagraph"/>
        <w:numPr>
          <w:ilvl w:val="0"/>
          <w:numId w:val="6"/>
        </w:numPr>
        <w:spacing w:after="0"/>
        <w:rPr>
          <w:rFonts w:ascii="Bookman Old Style" w:hAnsi="Bookman Old Style" w:cs="Calibri"/>
          <w:lang w:val="en-US"/>
        </w:rPr>
      </w:pPr>
      <w:r w:rsidRPr="00EA4BD1">
        <w:rPr>
          <w:rFonts w:ascii="Bookman Old Style" w:hAnsi="Bookman Old Style" w:cs="Calibri"/>
          <w:lang w:val="en-US"/>
        </w:rPr>
        <w:t>Business operations critical to the delivery of PMS.</w:t>
      </w:r>
    </w:p>
    <w:p w14:paraId="3E15CD06" w14:textId="77777777" w:rsidR="007B39C5" w:rsidRPr="00EA4BD1" w:rsidRDefault="007B39C5" w:rsidP="0008131E">
      <w:pPr>
        <w:pStyle w:val="ListParagraph"/>
        <w:numPr>
          <w:ilvl w:val="0"/>
          <w:numId w:val="6"/>
        </w:numPr>
        <w:spacing w:after="0"/>
        <w:rPr>
          <w:rFonts w:ascii="Bookman Old Style" w:hAnsi="Bookman Old Style" w:cs="Calibri"/>
          <w:lang w:val="en-US"/>
        </w:rPr>
      </w:pPr>
      <w:r w:rsidRPr="00EA4BD1">
        <w:rPr>
          <w:rFonts w:ascii="Bookman Old Style" w:hAnsi="Bookman Old Style" w:cs="Calibri"/>
          <w:lang w:val="en-US"/>
        </w:rPr>
        <w:t>IT infrastructure, including servers, databases, and applications.</w:t>
      </w:r>
    </w:p>
    <w:p w14:paraId="42B8B55C" w14:textId="77777777" w:rsidR="007B39C5" w:rsidRPr="00EA4BD1" w:rsidRDefault="007B39C5" w:rsidP="0008131E">
      <w:pPr>
        <w:pStyle w:val="ListParagraph"/>
        <w:numPr>
          <w:ilvl w:val="0"/>
          <w:numId w:val="6"/>
        </w:numPr>
        <w:spacing w:after="0"/>
        <w:rPr>
          <w:rFonts w:ascii="Bookman Old Style" w:hAnsi="Bookman Old Style" w:cs="Calibri"/>
          <w:lang w:val="en-US"/>
        </w:rPr>
      </w:pPr>
      <w:r w:rsidRPr="00EA4BD1">
        <w:rPr>
          <w:rFonts w:ascii="Bookman Old Style" w:hAnsi="Bookman Old Style" w:cs="Calibri"/>
          <w:lang w:val="en-US"/>
        </w:rPr>
        <w:t>Client data and financial records.</w:t>
      </w:r>
    </w:p>
    <w:p w14:paraId="35943961" w14:textId="77777777" w:rsidR="007B39C5" w:rsidRPr="00EA4BD1" w:rsidRDefault="007B39C5" w:rsidP="0008131E">
      <w:pPr>
        <w:pStyle w:val="ListParagraph"/>
        <w:numPr>
          <w:ilvl w:val="0"/>
          <w:numId w:val="6"/>
        </w:numPr>
        <w:spacing w:after="0"/>
        <w:rPr>
          <w:rFonts w:ascii="Bookman Old Style" w:hAnsi="Bookman Old Style" w:cs="Calibri"/>
          <w:lang w:val="en-US"/>
        </w:rPr>
      </w:pPr>
      <w:r w:rsidRPr="00EA4BD1">
        <w:rPr>
          <w:rFonts w:ascii="Bookman Old Style" w:hAnsi="Bookman Old Style" w:cs="Calibri"/>
          <w:lang w:val="en-US"/>
        </w:rPr>
        <w:t>Communication and operational channels.</w:t>
      </w:r>
    </w:p>
    <w:p w14:paraId="3A2C6A4B" w14:textId="0A89ECC9" w:rsidR="007B39C5" w:rsidRPr="00EA4BD1" w:rsidRDefault="007B39C5" w:rsidP="0008131E">
      <w:pPr>
        <w:pStyle w:val="ListParagraph"/>
        <w:numPr>
          <w:ilvl w:val="0"/>
          <w:numId w:val="6"/>
        </w:numPr>
        <w:spacing w:after="0"/>
        <w:rPr>
          <w:rFonts w:ascii="Bookman Old Style" w:hAnsi="Bookman Old Style" w:cs="Calibri"/>
          <w:lang w:val="en-US"/>
        </w:rPr>
      </w:pPr>
      <w:r w:rsidRPr="00EA4BD1">
        <w:rPr>
          <w:rFonts w:ascii="Bookman Old Style" w:hAnsi="Bookman Old Style" w:cs="Calibri"/>
          <w:lang w:val="en-US"/>
        </w:rPr>
        <w:t>Vendor and outsourcing relat</w:t>
      </w:r>
      <w:r w:rsidR="00CF2F9E">
        <w:rPr>
          <w:rFonts w:ascii="Bookman Old Style" w:hAnsi="Bookman Old Style" w:cs="Calibri"/>
          <w:lang w:val="en-US"/>
        </w:rPr>
        <w:t>i</w:t>
      </w:r>
      <w:r w:rsidRPr="00EA4BD1">
        <w:rPr>
          <w:rFonts w:ascii="Bookman Old Style" w:hAnsi="Bookman Old Style" w:cs="Calibri"/>
          <w:lang w:val="en-US"/>
        </w:rPr>
        <w:t>onships relevant to PMS.</w:t>
      </w:r>
    </w:p>
    <w:p w14:paraId="4154F38F" w14:textId="015B327F" w:rsidR="00A6039F" w:rsidRPr="00EA4BD1" w:rsidRDefault="00A6039F" w:rsidP="002625F4">
      <w:pPr>
        <w:pStyle w:val="Heading1"/>
        <w:keepNext w:val="0"/>
        <w:keepLines w:val="0"/>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100" w:after="0" w:line="276" w:lineRule="auto"/>
        <w:jc w:val="both"/>
        <w:rPr>
          <w:rFonts w:ascii="Bookman Old Style" w:eastAsiaTheme="minorEastAsia" w:hAnsi="Bookman Old Style" w:cs="Arial"/>
          <w:caps/>
          <w:color w:val="FFFFFF" w:themeColor="background1"/>
          <w:kern w:val="0"/>
          <w:sz w:val="22"/>
          <w:szCs w:val="22"/>
          <w:lang w:val="en-US"/>
          <w14:ligatures w14:val="none"/>
        </w:rPr>
      </w:pPr>
      <w:bookmarkStart w:id="2" w:name="_Toc213150710"/>
      <w:r w:rsidRPr="00EA4BD1">
        <w:rPr>
          <w:rFonts w:ascii="Bookman Old Style" w:eastAsiaTheme="minorEastAsia" w:hAnsi="Bookman Old Style" w:cs="Arial"/>
          <w:caps/>
          <w:color w:val="FFFFFF" w:themeColor="background1"/>
          <w:kern w:val="0"/>
          <w:sz w:val="22"/>
          <w:szCs w:val="22"/>
          <w:lang w:val="en-US"/>
          <w14:ligatures w14:val="none"/>
        </w:rPr>
        <w:t>PURPOSE</w:t>
      </w:r>
      <w:bookmarkEnd w:id="2"/>
    </w:p>
    <w:p w14:paraId="39BBB0D9" w14:textId="77777777" w:rsidR="004B0295" w:rsidRPr="00EA4BD1" w:rsidRDefault="004B0295" w:rsidP="00444BB2">
      <w:pPr>
        <w:jc w:val="both"/>
        <w:rPr>
          <w:rFonts w:ascii="Bookman Old Style" w:hAnsi="Bookman Old Style" w:cs="Calibri"/>
          <w:lang w:val="en-US"/>
        </w:rPr>
      </w:pPr>
      <w:r w:rsidRPr="00EA4BD1">
        <w:rPr>
          <w:rFonts w:ascii="Bookman Old Style" w:hAnsi="Bookman Old Style" w:cs="Calibri"/>
          <w:lang w:val="en-US"/>
        </w:rPr>
        <w:t>The purpose of this policy is to ensure the continuity of critical Portfolio Management Services (PMS) operations with minimal disruption, and to enable effective and timely recovery of business functions following any incident. It aims to mitigate operational, financial, reputational, and regulatory risks that may arise due to unforeseen disruptions. Additionally, the policy is designed to fulfill the regulatory expectations laid out under SEBI’s Cyber Security and Cyber Resilience Framework (CSCRF) and the PMS Master Circular.</w:t>
      </w:r>
    </w:p>
    <w:p w14:paraId="41F796E8" w14:textId="192DD0F1" w:rsidR="00242240" w:rsidRPr="00EA4BD1" w:rsidRDefault="002136E5" w:rsidP="002625F4">
      <w:pPr>
        <w:pStyle w:val="Heading1"/>
        <w:keepNext w:val="0"/>
        <w:keepLines w:val="0"/>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100" w:after="0" w:line="276" w:lineRule="auto"/>
        <w:jc w:val="both"/>
        <w:rPr>
          <w:rFonts w:ascii="Bookman Old Style" w:eastAsiaTheme="minorEastAsia" w:hAnsi="Bookman Old Style" w:cs="Arial"/>
          <w:caps/>
          <w:color w:val="FFFFFF" w:themeColor="background1"/>
          <w:kern w:val="0"/>
          <w:sz w:val="22"/>
          <w:szCs w:val="22"/>
          <w:lang w:val="en-US"/>
          <w14:ligatures w14:val="none"/>
        </w:rPr>
      </w:pPr>
      <w:bookmarkStart w:id="3" w:name="_Toc213150711"/>
      <w:r w:rsidRPr="00EA4BD1">
        <w:rPr>
          <w:rFonts w:ascii="Bookman Old Style" w:eastAsiaTheme="minorEastAsia" w:hAnsi="Bookman Old Style" w:cs="Arial"/>
          <w:caps/>
          <w:color w:val="FFFFFF" w:themeColor="background1"/>
          <w:kern w:val="0"/>
          <w:sz w:val="22"/>
          <w:szCs w:val="22"/>
          <w:lang w:val="en-US"/>
          <w14:ligatures w14:val="none"/>
        </w:rPr>
        <w:t>Roles and Responsibilities</w:t>
      </w:r>
      <w:bookmarkEnd w:id="3"/>
    </w:p>
    <w:p w14:paraId="4CBEAB00" w14:textId="6E6F076A" w:rsidR="00242240" w:rsidRPr="00EA4BD1" w:rsidRDefault="00636A08" w:rsidP="00444BB2">
      <w:pPr>
        <w:jc w:val="both"/>
        <w:rPr>
          <w:rFonts w:ascii="Bookman Old Style" w:hAnsi="Bookman Old Style" w:cs="Calibri"/>
        </w:rPr>
      </w:pPr>
      <w:r w:rsidRPr="00636A08">
        <w:rPr>
          <w:rFonts w:ascii="Bookman Old Style" w:eastAsiaTheme="minorEastAsia" w:hAnsi="Bookman Old Style" w:cs="Calibri"/>
          <w:kern w:val="0"/>
          <w:lang w:val="en-US"/>
          <w14:ligatures w14:val="none"/>
        </w:rPr>
        <w:t>Portfolio Manager</w:t>
      </w:r>
      <w:r w:rsidR="0084141E" w:rsidRPr="00EA4BD1">
        <w:rPr>
          <w:rFonts w:ascii="Bookman Old Style" w:eastAsiaTheme="minorEastAsia" w:hAnsi="Bookman Old Style" w:cs="Calibri"/>
          <w:kern w:val="0"/>
          <w:lang w:val="en-US"/>
          <w14:ligatures w14:val="none"/>
        </w:rPr>
        <w:t xml:space="preserve"> </w:t>
      </w:r>
      <w:r w:rsidR="00242240" w:rsidRPr="00EA4BD1">
        <w:rPr>
          <w:rFonts w:ascii="Bookman Old Style" w:hAnsi="Bookman Old Style" w:cs="Calibri"/>
        </w:rPr>
        <w:t xml:space="preserve">is responsible for the overall oversight and approval of the Business Continuity and Disaster Recovery (BCDR) framework and policy. </w:t>
      </w:r>
      <w:r w:rsidR="00BA5D82" w:rsidRPr="00EA4BD1">
        <w:rPr>
          <w:rFonts w:ascii="Bookman Old Style" w:hAnsi="Bookman Old Style" w:cs="Calibri"/>
        </w:rPr>
        <w:t xml:space="preserve"> </w:t>
      </w:r>
      <w:r w:rsidR="00A703F7">
        <w:rPr>
          <w:rFonts w:ascii="Bookman Old Style" w:eastAsiaTheme="minorEastAsia" w:hAnsi="Bookman Old Style" w:cs="Calibri"/>
          <w:kern w:val="0"/>
          <w14:ligatures w14:val="none"/>
        </w:rPr>
        <w:t>c</w:t>
      </w:r>
      <w:proofErr w:type="spellStart"/>
      <w:r w:rsidR="00A703F7">
        <w:rPr>
          <w:rFonts w:ascii="Bookman Old Style" w:eastAsiaTheme="minorEastAsia" w:hAnsi="Bookman Old Style" w:cs="Calibri"/>
          <w:kern w:val="0"/>
          <w:lang w:val="en-US"/>
          <w14:ligatures w14:val="none"/>
        </w:rPr>
        <w:t>ompanyshortname</w:t>
      </w:r>
      <w:proofErr w:type="spellEnd"/>
      <w:r w:rsidR="00A703F7">
        <w:rPr>
          <w:rFonts w:ascii="Bookman Old Style" w:eastAsiaTheme="minorEastAsia" w:hAnsi="Bookman Old Style" w:cs="Calibri"/>
          <w:kern w:val="0"/>
          <w:lang w:val="en-US"/>
          <w14:ligatures w14:val="none"/>
        </w:rPr>
        <w:t xml:space="preserve"> </w:t>
      </w:r>
      <w:r w:rsidR="00242240" w:rsidRPr="00EA4BD1">
        <w:rPr>
          <w:rFonts w:ascii="Bookman Old Style" w:hAnsi="Bookman Old Style" w:cs="Calibri"/>
        </w:rPr>
        <w:t>ensures that the BCDR measures are comprehensive, effective, and aligned with regulatory requirements and industry standards. It also reviews and monitors the results of periodic BCDR testing to ensure that the organization's preparedness remains robust and relevant to evolving risks.</w:t>
      </w:r>
    </w:p>
    <w:p w14:paraId="58C30197" w14:textId="483BED19" w:rsidR="00242240" w:rsidRPr="00EA4BD1" w:rsidRDefault="0034315D" w:rsidP="00444BB2">
      <w:pPr>
        <w:jc w:val="both"/>
        <w:rPr>
          <w:rFonts w:ascii="Bookman Old Style" w:hAnsi="Bookman Old Style" w:cs="Calibri"/>
        </w:rPr>
      </w:pPr>
      <w:r>
        <w:rPr>
          <w:rFonts w:ascii="Bookman Old Style" w:hAnsi="Bookman Old Style" w:cs="Calibri"/>
        </w:rPr>
        <w:t xml:space="preserve">A person shall be </w:t>
      </w:r>
      <w:r w:rsidR="00242240" w:rsidRPr="00EA4BD1">
        <w:rPr>
          <w:rFonts w:ascii="Bookman Old Style" w:hAnsi="Bookman Old Style" w:cs="Calibri"/>
        </w:rPr>
        <w:t xml:space="preserve">tasked with coordinating the implementation of the BCDR policy across all departments. The </w:t>
      </w:r>
      <w:r w:rsidR="00036673">
        <w:rPr>
          <w:rFonts w:ascii="Bookman Old Style" w:hAnsi="Bookman Old Style" w:cs="Calibri"/>
        </w:rPr>
        <w:t xml:space="preserve">person will </w:t>
      </w:r>
      <w:r w:rsidR="00242240" w:rsidRPr="00EA4BD1">
        <w:rPr>
          <w:rFonts w:ascii="Bookman Old Style" w:hAnsi="Bookman Old Style" w:cs="Calibri"/>
        </w:rPr>
        <w:t>play</w:t>
      </w:r>
      <w:r w:rsidR="00036673">
        <w:rPr>
          <w:rFonts w:ascii="Bookman Old Style" w:hAnsi="Bookman Old Style" w:cs="Calibri"/>
        </w:rPr>
        <w:t xml:space="preserve"> </w:t>
      </w:r>
      <w:r w:rsidR="00242240" w:rsidRPr="00EA4BD1">
        <w:rPr>
          <w:rFonts w:ascii="Bookman Old Style" w:hAnsi="Bookman Old Style" w:cs="Calibri"/>
        </w:rPr>
        <w:t xml:space="preserve">a key role in reviewing the Business Impact Analysis (BIA) and associated recovery plans to ensure completeness and effectiveness. Additionally, the </w:t>
      </w:r>
      <w:r w:rsidR="006865C4">
        <w:rPr>
          <w:rFonts w:ascii="Bookman Old Style" w:hAnsi="Bookman Old Style" w:cs="Calibri"/>
        </w:rPr>
        <w:t>person</w:t>
      </w:r>
      <w:r w:rsidR="00242240" w:rsidRPr="00EA4BD1">
        <w:rPr>
          <w:rFonts w:ascii="Bookman Old Style" w:hAnsi="Bookman Old Style" w:cs="Calibri"/>
        </w:rPr>
        <w:t xml:space="preserve"> is responsible for overseeing the execution of BCDR testing and for reviewing the results to identify any weaknesses or gaps that need to be addressed.</w:t>
      </w:r>
    </w:p>
    <w:p w14:paraId="1087CA4D" w14:textId="076F6D5B" w:rsidR="00242240" w:rsidRPr="00EA4BD1" w:rsidRDefault="00242240" w:rsidP="00444BB2">
      <w:pPr>
        <w:jc w:val="both"/>
        <w:rPr>
          <w:rFonts w:ascii="Bookman Old Style" w:hAnsi="Bookman Old Style" w:cs="Calibri"/>
        </w:rPr>
      </w:pPr>
      <w:r w:rsidRPr="00EA4BD1">
        <w:rPr>
          <w:rFonts w:ascii="Bookman Old Style" w:hAnsi="Bookman Old Style" w:cs="Calibri"/>
        </w:rPr>
        <w:t xml:space="preserve">The </w:t>
      </w:r>
      <w:r w:rsidRPr="00D65CD2">
        <w:rPr>
          <w:rFonts w:ascii="Bookman Old Style" w:hAnsi="Bookman Old Style" w:cs="Calibri"/>
        </w:rPr>
        <w:t>IT Team</w:t>
      </w:r>
      <w:r w:rsidRPr="00EA4BD1">
        <w:rPr>
          <w:rFonts w:ascii="Bookman Old Style" w:hAnsi="Bookman Old Style" w:cs="Calibri"/>
        </w:rPr>
        <w:t xml:space="preserve"> is primarily responsible for the technical execution of disaster recovery procedures. This includes implementing recovery tools, restoring affected systems, and ensuring that data backups are consistently maintained. The IT Team also supports periodic testing of recovery infrastructure and contributes to the monitoring and continuous improvement of the organization's technical resilience.</w:t>
      </w:r>
    </w:p>
    <w:p w14:paraId="7EF016F8" w14:textId="68B2DD22" w:rsidR="00242240" w:rsidRPr="00EA4BD1" w:rsidRDefault="00254A69" w:rsidP="00444BB2">
      <w:pPr>
        <w:jc w:val="both"/>
        <w:rPr>
          <w:rFonts w:ascii="Bookman Old Style" w:hAnsi="Bookman Old Style" w:cs="Calibri"/>
        </w:rPr>
      </w:pPr>
      <w:r w:rsidRPr="00EA4BD1">
        <w:rPr>
          <w:rFonts w:ascii="Bookman Old Style" w:hAnsi="Bookman Old Style" w:cs="Calibri"/>
          <w:b/>
          <w:bCs/>
        </w:rPr>
        <w:t>Directors/</w:t>
      </w:r>
      <w:r w:rsidR="00242240" w:rsidRPr="00EA4BD1">
        <w:rPr>
          <w:rFonts w:ascii="Bookman Old Style" w:hAnsi="Bookman Old Style" w:cs="Calibri"/>
          <w:b/>
          <w:bCs/>
        </w:rPr>
        <w:t xml:space="preserve">Business Heads </w:t>
      </w:r>
      <w:r w:rsidR="00242240" w:rsidRPr="00EA4BD1">
        <w:rPr>
          <w:rFonts w:ascii="Bookman Old Style" w:hAnsi="Bookman Old Style" w:cs="Calibri"/>
        </w:rPr>
        <w:t>are responsible for identifying and documenting the business-critical functions under their respective domains, along with the dependencies those functions rely upon. They work closely with the IT and risk management teams to define Recovery Time Objectives (RTOs) and Recovery Point Objectives (RPOs) for each function. Furthermore, Business Heads are required to ensure that relevant personnel within their teams are adequately trained and informed about their roles and responsibilities during a BCDR event.</w:t>
      </w:r>
    </w:p>
    <w:p w14:paraId="1C7EF0F5" w14:textId="77777777" w:rsidR="002136E5" w:rsidRPr="00EA4BD1" w:rsidRDefault="002136E5" w:rsidP="002625F4">
      <w:pPr>
        <w:pStyle w:val="Heading1"/>
        <w:keepNext w:val="0"/>
        <w:keepLines w:val="0"/>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100" w:after="0" w:line="276" w:lineRule="auto"/>
        <w:jc w:val="both"/>
        <w:rPr>
          <w:rFonts w:ascii="Bookman Old Style" w:eastAsiaTheme="minorEastAsia" w:hAnsi="Bookman Old Style" w:cs="Arial"/>
          <w:caps/>
          <w:color w:val="FFFFFF" w:themeColor="background1"/>
          <w:kern w:val="0"/>
          <w:sz w:val="22"/>
          <w:szCs w:val="22"/>
          <w:lang w:val="en-US"/>
          <w14:ligatures w14:val="none"/>
        </w:rPr>
      </w:pPr>
      <w:bookmarkStart w:id="4" w:name="_Toc213150712"/>
      <w:r w:rsidRPr="00EA4BD1">
        <w:rPr>
          <w:rFonts w:ascii="Bookman Old Style" w:eastAsiaTheme="minorEastAsia" w:hAnsi="Bookman Old Style" w:cs="Arial"/>
          <w:caps/>
          <w:color w:val="FFFFFF" w:themeColor="background1"/>
          <w:kern w:val="0"/>
          <w:sz w:val="22"/>
          <w:szCs w:val="22"/>
          <w:lang w:val="en-US"/>
          <w14:ligatures w14:val="none"/>
        </w:rPr>
        <w:lastRenderedPageBreak/>
        <w:t>Components:</w:t>
      </w:r>
      <w:bookmarkEnd w:id="4"/>
    </w:p>
    <w:p w14:paraId="7376DFA8" w14:textId="674CCC4D" w:rsidR="00490B45" w:rsidRPr="00EA4BD1" w:rsidRDefault="00490B45" w:rsidP="00444BB2">
      <w:pPr>
        <w:pStyle w:val="ListParagraph"/>
        <w:numPr>
          <w:ilvl w:val="0"/>
          <w:numId w:val="7"/>
        </w:numPr>
        <w:ind w:left="284"/>
        <w:jc w:val="both"/>
        <w:rPr>
          <w:rFonts w:ascii="Bookman Old Style" w:hAnsi="Bookman Old Style" w:cs="Calibri"/>
          <w:b/>
          <w:bCs/>
        </w:rPr>
      </w:pPr>
      <w:r w:rsidRPr="00EA4BD1">
        <w:rPr>
          <w:rFonts w:ascii="Bookman Old Style" w:hAnsi="Bookman Old Style" w:cs="Calibri"/>
          <w:b/>
          <w:bCs/>
        </w:rPr>
        <w:t>Identification of Critical Functions:</w:t>
      </w:r>
    </w:p>
    <w:p w14:paraId="326F157C" w14:textId="77777777" w:rsidR="00490B45" w:rsidRPr="00EA4BD1" w:rsidRDefault="00490B45" w:rsidP="00444BB2">
      <w:pPr>
        <w:jc w:val="both"/>
        <w:rPr>
          <w:rFonts w:ascii="Bookman Old Style" w:hAnsi="Bookman Old Style" w:cs="Calibri"/>
        </w:rPr>
      </w:pPr>
      <w:r w:rsidRPr="00EA4BD1">
        <w:rPr>
          <w:rFonts w:ascii="Bookman Old Style" w:hAnsi="Bookman Old Style" w:cs="Calibri"/>
        </w:rPr>
        <w:t>All business functions are assessed to classify them based on criticality. Functions necessary for client servicing, regulatory compliance, fund management, client reporting, and data access are designated as critical. Dependencies on infrastructure, third-party vendors, applications, and key personnel are documented accordingly.</w:t>
      </w:r>
    </w:p>
    <w:p w14:paraId="6655CCC1" w14:textId="3B5F2271" w:rsidR="00490B45" w:rsidRPr="00EA4BD1" w:rsidRDefault="00490B45" w:rsidP="00444BB2">
      <w:pPr>
        <w:pStyle w:val="ListParagraph"/>
        <w:numPr>
          <w:ilvl w:val="0"/>
          <w:numId w:val="7"/>
        </w:numPr>
        <w:ind w:left="284"/>
        <w:jc w:val="both"/>
        <w:rPr>
          <w:rFonts w:ascii="Bookman Old Style" w:hAnsi="Bookman Old Style" w:cs="Calibri"/>
          <w:b/>
          <w:bCs/>
        </w:rPr>
      </w:pPr>
      <w:r w:rsidRPr="00EA4BD1">
        <w:rPr>
          <w:rFonts w:ascii="Bookman Old Style" w:hAnsi="Bookman Old Style" w:cs="Calibri"/>
          <w:b/>
          <w:bCs/>
        </w:rPr>
        <w:t>Business Impact Analysis (BIA):</w:t>
      </w:r>
    </w:p>
    <w:p w14:paraId="049D082B" w14:textId="77777777" w:rsidR="00490B45" w:rsidRPr="00EA4BD1" w:rsidRDefault="00490B45" w:rsidP="00444BB2">
      <w:pPr>
        <w:jc w:val="both"/>
        <w:rPr>
          <w:rFonts w:ascii="Bookman Old Style" w:hAnsi="Bookman Old Style" w:cs="Calibri"/>
        </w:rPr>
      </w:pPr>
      <w:r w:rsidRPr="00EA4BD1">
        <w:rPr>
          <w:rFonts w:ascii="Bookman Old Style" w:hAnsi="Bookman Old Style" w:cs="Calibri"/>
        </w:rPr>
        <w:t>A Business Impact Analysis is conducted to evaluate the potential impact of disruptions on various business functions. This process helps define acceptable downtime and data loss thresholds for each critical function and serves as a foundation for setting Recovery Time Objectives (RTOs) and Recovery Point Objectives (RPOs).</w:t>
      </w:r>
    </w:p>
    <w:p w14:paraId="51260DB0" w14:textId="4CD6F83F" w:rsidR="00490B45" w:rsidRPr="00EA4BD1" w:rsidRDefault="00490B45" w:rsidP="00444BB2">
      <w:pPr>
        <w:pStyle w:val="ListParagraph"/>
        <w:numPr>
          <w:ilvl w:val="0"/>
          <w:numId w:val="7"/>
        </w:numPr>
        <w:ind w:left="284"/>
        <w:jc w:val="both"/>
        <w:rPr>
          <w:rFonts w:ascii="Bookman Old Style" w:hAnsi="Bookman Old Style" w:cs="Calibri"/>
          <w:b/>
          <w:bCs/>
        </w:rPr>
      </w:pPr>
      <w:r w:rsidRPr="00EA4BD1">
        <w:rPr>
          <w:rFonts w:ascii="Bookman Old Style" w:hAnsi="Bookman Old Style" w:cs="Calibri"/>
          <w:b/>
          <w:bCs/>
        </w:rPr>
        <w:t>BCDR Planning:</w:t>
      </w:r>
    </w:p>
    <w:p w14:paraId="3BE80CC7" w14:textId="77777777" w:rsidR="00490B45" w:rsidRPr="00EA4BD1" w:rsidRDefault="00490B45" w:rsidP="00444BB2">
      <w:pPr>
        <w:jc w:val="both"/>
        <w:rPr>
          <w:rFonts w:ascii="Bookman Old Style" w:hAnsi="Bookman Old Style" w:cs="Calibri"/>
        </w:rPr>
      </w:pPr>
      <w:r w:rsidRPr="00EA4BD1">
        <w:rPr>
          <w:rFonts w:ascii="Bookman Old Style" w:hAnsi="Bookman Old Style" w:cs="Calibri"/>
        </w:rPr>
        <w:t>Detailed BCDR plans are developed to address various disruption scenarios such as cybersecurity incidents (e.g., ransomware, data breach), natural disasters (e.g., fire, flood, earthquake), system or hardware failures, and pandemics or human resource unavailability. These plans include communication protocols, failover procedures, manual workaround methods, and the systematic restoration of IT systems and data.</w:t>
      </w:r>
    </w:p>
    <w:p w14:paraId="1C199E2F" w14:textId="2E2DAEBA" w:rsidR="00490B45" w:rsidRPr="00EA4BD1" w:rsidRDefault="00490B45" w:rsidP="00444BB2">
      <w:pPr>
        <w:pStyle w:val="ListParagraph"/>
        <w:numPr>
          <w:ilvl w:val="0"/>
          <w:numId w:val="7"/>
        </w:numPr>
        <w:ind w:left="284"/>
        <w:jc w:val="both"/>
        <w:rPr>
          <w:rFonts w:ascii="Bookman Old Style" w:hAnsi="Bookman Old Style" w:cs="Calibri"/>
          <w:b/>
          <w:bCs/>
        </w:rPr>
      </w:pPr>
      <w:r w:rsidRPr="00EA4BD1">
        <w:rPr>
          <w:rFonts w:ascii="Bookman Old Style" w:hAnsi="Bookman Old Style" w:cs="Calibri"/>
          <w:b/>
          <w:bCs/>
        </w:rPr>
        <w:t>Recovery Objectives:</w:t>
      </w:r>
    </w:p>
    <w:p w14:paraId="1DD627D9" w14:textId="77777777" w:rsidR="00490B45" w:rsidRPr="00EA4BD1" w:rsidRDefault="00490B45" w:rsidP="00444BB2">
      <w:pPr>
        <w:jc w:val="both"/>
        <w:rPr>
          <w:rFonts w:ascii="Bookman Old Style" w:hAnsi="Bookman Old Style" w:cs="Calibri"/>
        </w:rPr>
      </w:pPr>
      <w:r w:rsidRPr="00EA4BD1">
        <w:rPr>
          <w:rFonts w:ascii="Bookman Old Style" w:hAnsi="Bookman Old Style" w:cs="Calibri"/>
        </w:rPr>
        <w:t>For each critical function, Recovery Time Objectives (RTOs) and Recovery Point Objectives (RPOs) are defined and documented. The RTO defines the maximum acceptable time that a function can be unavailable, while the RPO defines the maximum tolerable data loss measured in time.</w:t>
      </w:r>
    </w:p>
    <w:p w14:paraId="56408BC5" w14:textId="225BE6EC" w:rsidR="00490B45" w:rsidRPr="00EA4BD1" w:rsidRDefault="00490B45" w:rsidP="00444BB2">
      <w:pPr>
        <w:pStyle w:val="ListParagraph"/>
        <w:numPr>
          <w:ilvl w:val="0"/>
          <w:numId w:val="7"/>
        </w:numPr>
        <w:ind w:left="284"/>
        <w:jc w:val="both"/>
        <w:rPr>
          <w:rFonts w:ascii="Bookman Old Style" w:hAnsi="Bookman Old Style" w:cs="Calibri"/>
          <w:b/>
          <w:bCs/>
        </w:rPr>
      </w:pPr>
      <w:r w:rsidRPr="00EA4BD1">
        <w:rPr>
          <w:rFonts w:ascii="Bookman Old Style" w:hAnsi="Bookman Old Style" w:cs="Calibri"/>
          <w:b/>
          <w:bCs/>
        </w:rPr>
        <w:t>Data Backup and Storage:</w:t>
      </w:r>
    </w:p>
    <w:p w14:paraId="60621C18" w14:textId="77777777" w:rsidR="00490B45" w:rsidRPr="00EA4BD1" w:rsidRDefault="00490B45" w:rsidP="00444BB2">
      <w:pPr>
        <w:jc w:val="both"/>
        <w:rPr>
          <w:rFonts w:ascii="Bookman Old Style" w:hAnsi="Bookman Old Style" w:cs="Calibri"/>
        </w:rPr>
      </w:pPr>
      <w:r w:rsidRPr="00EA4BD1">
        <w:rPr>
          <w:rFonts w:ascii="Bookman Old Style" w:hAnsi="Bookman Old Style" w:cs="Calibri"/>
        </w:rPr>
        <w:t>Regular and automated backups of all critical data are maintained. All backup data is encrypted and stored securely, either off-site or in cloud-based disaster recovery infrastructure. These backups are periodically tested to ensure recoverability, and retention periods comply with both regulatory and business requirements.</w:t>
      </w:r>
    </w:p>
    <w:p w14:paraId="067DB24D" w14:textId="29002A13" w:rsidR="00DE0D23" w:rsidRPr="00EA4BD1" w:rsidRDefault="005F1491" w:rsidP="005F1491">
      <w:pPr>
        <w:pStyle w:val="ListParagraph"/>
        <w:numPr>
          <w:ilvl w:val="0"/>
          <w:numId w:val="7"/>
        </w:numPr>
        <w:ind w:left="284"/>
        <w:jc w:val="both"/>
        <w:rPr>
          <w:rFonts w:ascii="Bookman Old Style" w:hAnsi="Bookman Old Style" w:cs="Calibri"/>
          <w:b/>
          <w:bCs/>
        </w:rPr>
      </w:pPr>
      <w:r w:rsidRPr="00EA4BD1">
        <w:rPr>
          <w:rFonts w:ascii="Bookman Old Style" w:hAnsi="Bookman Old Style" w:cs="Calibri"/>
          <w:b/>
          <w:bCs/>
        </w:rPr>
        <w:t>Testing, Review, and Training</w:t>
      </w:r>
    </w:p>
    <w:p w14:paraId="5208B2B6" w14:textId="77777777" w:rsidR="00E37A1E" w:rsidRPr="00EA4BD1" w:rsidRDefault="00E37A1E" w:rsidP="00E37A1E">
      <w:pPr>
        <w:pStyle w:val="ListParagraph"/>
        <w:ind w:left="284"/>
        <w:jc w:val="both"/>
        <w:rPr>
          <w:rFonts w:ascii="Bookman Old Style" w:hAnsi="Bookman Old Style" w:cs="Calibri"/>
          <w:b/>
          <w:bCs/>
        </w:rPr>
      </w:pPr>
    </w:p>
    <w:p w14:paraId="0D16478F" w14:textId="77777777" w:rsidR="00E37A1E" w:rsidRPr="00EA4BD1" w:rsidRDefault="007A2C5D" w:rsidP="00E37A1E">
      <w:pPr>
        <w:pStyle w:val="ListParagraph"/>
        <w:numPr>
          <w:ilvl w:val="0"/>
          <w:numId w:val="9"/>
        </w:numPr>
        <w:spacing w:before="240"/>
        <w:jc w:val="both"/>
        <w:rPr>
          <w:rFonts w:ascii="Bookman Old Style" w:hAnsi="Bookman Old Style" w:cs="Calibri"/>
          <w:b/>
          <w:bCs/>
        </w:rPr>
      </w:pPr>
      <w:r w:rsidRPr="00EA4BD1">
        <w:rPr>
          <w:rFonts w:ascii="Bookman Old Style" w:hAnsi="Bookman Old Style" w:cs="Calibri"/>
          <w:b/>
          <w:bCs/>
        </w:rPr>
        <w:t>BCDR Testing and Maintenance:</w:t>
      </w:r>
    </w:p>
    <w:p w14:paraId="1AA60CB9" w14:textId="2AC3FE69" w:rsidR="007A2C5D" w:rsidRPr="00EA4BD1" w:rsidRDefault="007A2C5D" w:rsidP="00E37A1E">
      <w:pPr>
        <w:ind w:left="709"/>
        <w:jc w:val="both"/>
        <w:rPr>
          <w:rFonts w:ascii="Bookman Old Style" w:hAnsi="Bookman Old Style" w:cs="Calibri"/>
        </w:rPr>
      </w:pPr>
      <w:r w:rsidRPr="00EA4BD1">
        <w:rPr>
          <w:rFonts w:ascii="Bookman Old Style" w:hAnsi="Bookman Old Style" w:cs="Calibri"/>
        </w:rPr>
        <w:t>Conduct annual drills and simulations to test the effectiveness of the BCDR plan. These include table-top exercises simulating various disruption scenarios such as cyberattacks, system failures, and natural disasters. Update the plan based on test results, regulatory changes, and lessons learned from actual incidents. The BCDR plan is also reviewed at least once annually, or upon significant changes in business operations, infrastructure, or regulations, and revised as needed following post-incident evaluations.</w:t>
      </w:r>
    </w:p>
    <w:p w14:paraId="28D85CE8" w14:textId="77777777" w:rsidR="00E37A1E" w:rsidRPr="00EA4BD1" w:rsidRDefault="007A2C5D" w:rsidP="00E37A1E">
      <w:pPr>
        <w:pStyle w:val="ListParagraph"/>
        <w:numPr>
          <w:ilvl w:val="0"/>
          <w:numId w:val="9"/>
        </w:numPr>
        <w:jc w:val="both"/>
        <w:rPr>
          <w:rFonts w:ascii="Bookman Old Style" w:hAnsi="Bookman Old Style" w:cs="Calibri"/>
          <w:b/>
          <w:bCs/>
        </w:rPr>
      </w:pPr>
      <w:r w:rsidRPr="00EA4BD1">
        <w:rPr>
          <w:rFonts w:ascii="Bookman Old Style" w:hAnsi="Bookman Old Style" w:cs="Calibri"/>
          <w:b/>
          <w:bCs/>
        </w:rPr>
        <w:t>Awareness and Training:</w:t>
      </w:r>
    </w:p>
    <w:p w14:paraId="6F42C768" w14:textId="0F70E9AE" w:rsidR="007A2C5D" w:rsidRPr="00EA4BD1" w:rsidRDefault="007A2C5D" w:rsidP="00E37A1E">
      <w:pPr>
        <w:ind w:left="709"/>
        <w:jc w:val="both"/>
        <w:rPr>
          <w:rFonts w:ascii="Bookman Old Style" w:hAnsi="Bookman Old Style" w:cs="Calibri"/>
        </w:rPr>
      </w:pPr>
      <w:r w:rsidRPr="00EA4BD1">
        <w:rPr>
          <w:rFonts w:ascii="Bookman Old Style" w:hAnsi="Bookman Old Style" w:cs="Calibri"/>
        </w:rPr>
        <w:t xml:space="preserve">Annual training programs are conducted to ensure that employees involved in critical operations are aware of the BCDR procedures. These programs cover </w:t>
      </w:r>
      <w:r w:rsidRPr="00EA4BD1">
        <w:rPr>
          <w:rFonts w:ascii="Bookman Old Style" w:hAnsi="Bookman Old Style" w:cs="Calibri"/>
        </w:rPr>
        <w:lastRenderedPageBreak/>
        <w:t>roles and responsibilities, escalation protocols, and alternate communication and operating procedures, thereby ensuring readiness and effective response during disruptions.</w:t>
      </w:r>
    </w:p>
    <w:p w14:paraId="15ED74B0" w14:textId="3F9208A3" w:rsidR="0083241D" w:rsidRPr="0083241D" w:rsidRDefault="005B2FDA" w:rsidP="0083241D">
      <w:pPr>
        <w:pStyle w:val="Heading1"/>
        <w:keepNext w:val="0"/>
        <w:keepLines w:val="0"/>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100" w:after="0" w:line="276" w:lineRule="auto"/>
        <w:ind w:left="142"/>
        <w:jc w:val="both"/>
        <w:rPr>
          <w:rFonts w:ascii="Bookman Old Style" w:eastAsiaTheme="minorEastAsia" w:hAnsi="Bookman Old Style" w:cs="Arial"/>
          <w:caps/>
          <w:color w:val="FFFFFF" w:themeColor="background1"/>
          <w:kern w:val="0"/>
          <w:sz w:val="22"/>
          <w:szCs w:val="22"/>
          <w:lang w:val="en-US"/>
          <w14:ligatures w14:val="none"/>
        </w:rPr>
      </w:pPr>
      <w:bookmarkStart w:id="5" w:name="_Toc213150713"/>
      <w:r w:rsidRPr="00EA4BD1">
        <w:rPr>
          <w:rFonts w:ascii="Bookman Old Style" w:eastAsiaTheme="minorEastAsia" w:hAnsi="Bookman Old Style" w:cs="Arial"/>
          <w:caps/>
          <w:color w:val="FFFFFF" w:themeColor="background1"/>
          <w:kern w:val="0"/>
          <w:sz w:val="22"/>
          <w:szCs w:val="22"/>
          <w:lang w:val="en-US"/>
          <w14:ligatures w14:val="none"/>
        </w:rPr>
        <w:t>REVIEW OF THE POLICY AND UPDATE</w:t>
      </w:r>
      <w:bookmarkEnd w:id="5"/>
    </w:p>
    <w:p w14:paraId="2754C5A6" w14:textId="7FEA526F" w:rsidR="0004404E" w:rsidRPr="00332DA1" w:rsidRDefault="0004404E" w:rsidP="0083241D">
      <w:pPr>
        <w:ind w:left="142"/>
        <w:jc w:val="both"/>
        <w:rPr>
          <w:rFonts w:ascii="Bookman Old Style" w:hAnsi="Bookman Old Style" w:cs="Calibri"/>
        </w:rPr>
      </w:pPr>
      <w:r w:rsidRPr="00332DA1">
        <w:rPr>
          <w:rFonts w:ascii="Bookman Old Style" w:hAnsi="Bookman Old Style" w:cs="Calibri"/>
        </w:rPr>
        <w:t xml:space="preserve">The policy will be reviewed and updated as required to incorporate any changes introduced by regulatory authorities. The Board of </w:t>
      </w:r>
      <w:r w:rsidR="00F73812">
        <w:rPr>
          <w:rFonts w:ascii="Bookman Old Style" w:hAnsi="Bookman Old Style" w:cs="Calibri"/>
        </w:rPr>
        <w:t>Company</w:t>
      </w:r>
      <w:r w:rsidRPr="00332DA1">
        <w:rPr>
          <w:rFonts w:ascii="Bookman Old Style" w:hAnsi="Bookman Old Style" w:cs="Calibri"/>
        </w:rPr>
        <w:t xml:space="preserve"> shall provide necessary guidance enabling identification, elimination or management of conflict-of-interest situations.</w:t>
      </w:r>
      <w:r w:rsidRPr="00133C74">
        <w:rPr>
          <w:rFonts w:ascii="Bookman Old Style" w:hAnsi="Bookman Old Style" w:cs="Arial"/>
        </w:rPr>
        <w:t xml:space="preserve"> </w:t>
      </w:r>
      <w:r w:rsidRPr="00332DA1">
        <w:rPr>
          <w:rFonts w:ascii="Bookman Old Style" w:hAnsi="Bookman Old Style" w:cs="Calibri"/>
        </w:rPr>
        <w:t xml:space="preserve">The Board of </w:t>
      </w:r>
      <w:r w:rsidR="00F73812">
        <w:rPr>
          <w:rFonts w:ascii="Bookman Old Style" w:hAnsi="Bookman Old Style" w:cs="Calibri"/>
        </w:rPr>
        <w:t>Company</w:t>
      </w:r>
      <w:r w:rsidRPr="00332DA1">
        <w:rPr>
          <w:rFonts w:ascii="Bookman Old Style" w:hAnsi="Bookman Old Style" w:cs="Calibri"/>
        </w:rPr>
        <w:t xml:space="preserve"> shall review the compliance of this circular periodically. </w:t>
      </w:r>
    </w:p>
    <w:p w14:paraId="1FF66875" w14:textId="77777777" w:rsidR="00CE5F03" w:rsidRPr="00133C74" w:rsidRDefault="00CE5F03" w:rsidP="00CE5F03">
      <w:pPr>
        <w:jc w:val="center"/>
        <w:rPr>
          <w:rFonts w:ascii="Bookman Old Style" w:hAnsi="Bookman Old Style" w:cs="Arial"/>
        </w:rPr>
      </w:pPr>
      <w:r w:rsidRPr="00133C74">
        <w:rPr>
          <w:rFonts w:ascii="Bookman Old Style" w:hAnsi="Bookman Old Style" w:cs="Arial"/>
        </w:rPr>
        <w:t>xxxxxx</w:t>
      </w:r>
    </w:p>
    <w:p w14:paraId="0E5207E9" w14:textId="1193A53E" w:rsidR="006655C0" w:rsidRPr="0004404E" w:rsidRDefault="006655C0" w:rsidP="00444BB2">
      <w:pPr>
        <w:jc w:val="both"/>
        <w:rPr>
          <w:rFonts w:ascii="Bookman Old Style" w:eastAsiaTheme="minorEastAsia" w:hAnsi="Bookman Old Style" w:cs="Calibri"/>
          <w:kern w:val="0"/>
          <w14:ligatures w14:val="none"/>
        </w:rPr>
      </w:pPr>
    </w:p>
    <w:sectPr w:rsidR="006655C0" w:rsidRPr="0004404E" w:rsidSect="00672544">
      <w:pgSz w:w="11906" w:h="16838"/>
      <w:pgMar w:top="1440" w:right="1440" w:bottom="1440" w:left="1440" w:header="187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B8625" w14:textId="77777777" w:rsidR="00B704C6" w:rsidRDefault="00B704C6" w:rsidP="00134A3D">
      <w:pPr>
        <w:spacing w:after="0" w:line="240" w:lineRule="auto"/>
      </w:pPr>
      <w:r>
        <w:separator/>
      </w:r>
    </w:p>
  </w:endnote>
  <w:endnote w:type="continuationSeparator" w:id="0">
    <w:p w14:paraId="08F6130E" w14:textId="77777777" w:rsidR="00B704C6" w:rsidRDefault="00B704C6" w:rsidP="00134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BC754" w14:textId="77777777" w:rsidR="00B704C6" w:rsidRDefault="00B704C6" w:rsidP="00134A3D">
      <w:pPr>
        <w:spacing w:after="0" w:line="240" w:lineRule="auto"/>
      </w:pPr>
      <w:r>
        <w:separator/>
      </w:r>
    </w:p>
  </w:footnote>
  <w:footnote w:type="continuationSeparator" w:id="0">
    <w:p w14:paraId="41028917" w14:textId="77777777" w:rsidR="00B704C6" w:rsidRDefault="00B704C6" w:rsidP="00134A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829"/>
    <w:multiLevelType w:val="hybridMultilevel"/>
    <w:tmpl w:val="2B8A9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4D2DE3"/>
    <w:multiLevelType w:val="multilevel"/>
    <w:tmpl w:val="41AE2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DB2F8D"/>
    <w:multiLevelType w:val="hybridMultilevel"/>
    <w:tmpl w:val="C8281A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BFA50F4"/>
    <w:multiLevelType w:val="hybridMultilevel"/>
    <w:tmpl w:val="B7EA26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B4E4F36"/>
    <w:multiLevelType w:val="hybridMultilevel"/>
    <w:tmpl w:val="0DA6DF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02E6599"/>
    <w:multiLevelType w:val="hybridMultilevel"/>
    <w:tmpl w:val="0BCAB4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0B25180"/>
    <w:multiLevelType w:val="hybridMultilevel"/>
    <w:tmpl w:val="E61660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35217AE"/>
    <w:multiLevelType w:val="hybridMultilevel"/>
    <w:tmpl w:val="404E6E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9331B18"/>
    <w:multiLevelType w:val="hybridMultilevel"/>
    <w:tmpl w:val="41023C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46228082">
    <w:abstractNumId w:val="6"/>
  </w:num>
  <w:num w:numId="2" w16cid:durableId="332684835">
    <w:abstractNumId w:val="5"/>
  </w:num>
  <w:num w:numId="3" w16cid:durableId="1453481397">
    <w:abstractNumId w:val="4"/>
  </w:num>
  <w:num w:numId="4" w16cid:durableId="1726874382">
    <w:abstractNumId w:val="8"/>
  </w:num>
  <w:num w:numId="5" w16cid:durableId="1264801324">
    <w:abstractNumId w:val="2"/>
  </w:num>
  <w:num w:numId="6" w16cid:durableId="1362242099">
    <w:abstractNumId w:val="3"/>
  </w:num>
  <w:num w:numId="7" w16cid:durableId="1988585275">
    <w:abstractNumId w:val="0"/>
  </w:num>
  <w:num w:numId="8" w16cid:durableId="2095545402">
    <w:abstractNumId w:val="1"/>
  </w:num>
  <w:num w:numId="9" w16cid:durableId="345909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30"/>
    <w:rsid w:val="000125BC"/>
    <w:rsid w:val="0002207D"/>
    <w:rsid w:val="00033184"/>
    <w:rsid w:val="00036673"/>
    <w:rsid w:val="00040919"/>
    <w:rsid w:val="0004404E"/>
    <w:rsid w:val="00044B35"/>
    <w:rsid w:val="00064221"/>
    <w:rsid w:val="00072F44"/>
    <w:rsid w:val="0008131E"/>
    <w:rsid w:val="000B1214"/>
    <w:rsid w:val="000C6AED"/>
    <w:rsid w:val="000D18DA"/>
    <w:rsid w:val="000E3331"/>
    <w:rsid w:val="00101A8D"/>
    <w:rsid w:val="00121F5B"/>
    <w:rsid w:val="00134A3D"/>
    <w:rsid w:val="001437B8"/>
    <w:rsid w:val="00157192"/>
    <w:rsid w:val="00192C30"/>
    <w:rsid w:val="001B586C"/>
    <w:rsid w:val="00211651"/>
    <w:rsid w:val="002136E5"/>
    <w:rsid w:val="0023174C"/>
    <w:rsid w:val="00242240"/>
    <w:rsid w:val="00250DAC"/>
    <w:rsid w:val="00254A69"/>
    <w:rsid w:val="002625F4"/>
    <w:rsid w:val="00275634"/>
    <w:rsid w:val="00281EE1"/>
    <w:rsid w:val="002B36E9"/>
    <w:rsid w:val="002B576C"/>
    <w:rsid w:val="002C0B3C"/>
    <w:rsid w:val="002C6652"/>
    <w:rsid w:val="002F3DC7"/>
    <w:rsid w:val="003100C2"/>
    <w:rsid w:val="00312478"/>
    <w:rsid w:val="00332DA1"/>
    <w:rsid w:val="0034315D"/>
    <w:rsid w:val="003809F5"/>
    <w:rsid w:val="00391ABF"/>
    <w:rsid w:val="003A12D4"/>
    <w:rsid w:val="003B206C"/>
    <w:rsid w:val="003C31F0"/>
    <w:rsid w:val="003D4B69"/>
    <w:rsid w:val="003F1D0E"/>
    <w:rsid w:val="004113BE"/>
    <w:rsid w:val="004131B6"/>
    <w:rsid w:val="00417E8F"/>
    <w:rsid w:val="00444BB2"/>
    <w:rsid w:val="00455CDA"/>
    <w:rsid w:val="004610EF"/>
    <w:rsid w:val="00482750"/>
    <w:rsid w:val="00490B45"/>
    <w:rsid w:val="004A0356"/>
    <w:rsid w:val="004B0295"/>
    <w:rsid w:val="004C4025"/>
    <w:rsid w:val="004E75BF"/>
    <w:rsid w:val="0050313E"/>
    <w:rsid w:val="0051374D"/>
    <w:rsid w:val="005138AC"/>
    <w:rsid w:val="00521A25"/>
    <w:rsid w:val="00550C75"/>
    <w:rsid w:val="00557D8D"/>
    <w:rsid w:val="005A2CAE"/>
    <w:rsid w:val="005B2FDA"/>
    <w:rsid w:val="005E749D"/>
    <w:rsid w:val="005F1491"/>
    <w:rsid w:val="006225B6"/>
    <w:rsid w:val="00636A08"/>
    <w:rsid w:val="006655C0"/>
    <w:rsid w:val="00672544"/>
    <w:rsid w:val="006865C4"/>
    <w:rsid w:val="006B0CA6"/>
    <w:rsid w:val="006B7844"/>
    <w:rsid w:val="006C26A1"/>
    <w:rsid w:val="006C468A"/>
    <w:rsid w:val="006D0094"/>
    <w:rsid w:val="006F7508"/>
    <w:rsid w:val="00714CC4"/>
    <w:rsid w:val="00716E30"/>
    <w:rsid w:val="0073706A"/>
    <w:rsid w:val="00743BCF"/>
    <w:rsid w:val="00747FDA"/>
    <w:rsid w:val="00754E1E"/>
    <w:rsid w:val="007A2C5D"/>
    <w:rsid w:val="007B39C5"/>
    <w:rsid w:val="007C510D"/>
    <w:rsid w:val="007F459A"/>
    <w:rsid w:val="00810F8A"/>
    <w:rsid w:val="008270F8"/>
    <w:rsid w:val="0083241D"/>
    <w:rsid w:val="00840EAE"/>
    <w:rsid w:val="0084141E"/>
    <w:rsid w:val="00843A20"/>
    <w:rsid w:val="00886148"/>
    <w:rsid w:val="00892ABA"/>
    <w:rsid w:val="008C7484"/>
    <w:rsid w:val="008D1E45"/>
    <w:rsid w:val="008E636C"/>
    <w:rsid w:val="008F3CC4"/>
    <w:rsid w:val="009055DB"/>
    <w:rsid w:val="00923DB7"/>
    <w:rsid w:val="00937CC2"/>
    <w:rsid w:val="0094650C"/>
    <w:rsid w:val="00991159"/>
    <w:rsid w:val="009C6474"/>
    <w:rsid w:val="009D6E54"/>
    <w:rsid w:val="00A27204"/>
    <w:rsid w:val="00A6039F"/>
    <w:rsid w:val="00A701E3"/>
    <w:rsid w:val="00A703F7"/>
    <w:rsid w:val="00A908E0"/>
    <w:rsid w:val="00A92CFD"/>
    <w:rsid w:val="00AA16E6"/>
    <w:rsid w:val="00AA354E"/>
    <w:rsid w:val="00AC29C9"/>
    <w:rsid w:val="00AC37F4"/>
    <w:rsid w:val="00AC6833"/>
    <w:rsid w:val="00AD0E17"/>
    <w:rsid w:val="00AD0EFC"/>
    <w:rsid w:val="00AD772B"/>
    <w:rsid w:val="00AE31B8"/>
    <w:rsid w:val="00B063DF"/>
    <w:rsid w:val="00B21114"/>
    <w:rsid w:val="00B34B19"/>
    <w:rsid w:val="00B3768C"/>
    <w:rsid w:val="00B416E8"/>
    <w:rsid w:val="00B67A43"/>
    <w:rsid w:val="00B704C6"/>
    <w:rsid w:val="00B710D5"/>
    <w:rsid w:val="00B74512"/>
    <w:rsid w:val="00B82310"/>
    <w:rsid w:val="00B87EB7"/>
    <w:rsid w:val="00BA5D2B"/>
    <w:rsid w:val="00BA5D82"/>
    <w:rsid w:val="00BA6142"/>
    <w:rsid w:val="00BC2CAF"/>
    <w:rsid w:val="00BC7D75"/>
    <w:rsid w:val="00BE2CBC"/>
    <w:rsid w:val="00C101EE"/>
    <w:rsid w:val="00C14994"/>
    <w:rsid w:val="00C23230"/>
    <w:rsid w:val="00C61F04"/>
    <w:rsid w:val="00C9280D"/>
    <w:rsid w:val="00C970FC"/>
    <w:rsid w:val="00CC2635"/>
    <w:rsid w:val="00CC30AE"/>
    <w:rsid w:val="00CE1876"/>
    <w:rsid w:val="00CE33AC"/>
    <w:rsid w:val="00CE5F03"/>
    <w:rsid w:val="00CF2F9E"/>
    <w:rsid w:val="00CF6718"/>
    <w:rsid w:val="00D278C6"/>
    <w:rsid w:val="00D32E5C"/>
    <w:rsid w:val="00D532FE"/>
    <w:rsid w:val="00D65CD2"/>
    <w:rsid w:val="00DD41A4"/>
    <w:rsid w:val="00DD779A"/>
    <w:rsid w:val="00DE0D23"/>
    <w:rsid w:val="00DE15C5"/>
    <w:rsid w:val="00DE1F39"/>
    <w:rsid w:val="00E13CBE"/>
    <w:rsid w:val="00E16AE0"/>
    <w:rsid w:val="00E34556"/>
    <w:rsid w:val="00E37A1E"/>
    <w:rsid w:val="00E53879"/>
    <w:rsid w:val="00E625CB"/>
    <w:rsid w:val="00E76F61"/>
    <w:rsid w:val="00E86264"/>
    <w:rsid w:val="00E9085B"/>
    <w:rsid w:val="00E927C3"/>
    <w:rsid w:val="00EA4BD1"/>
    <w:rsid w:val="00EB1B16"/>
    <w:rsid w:val="00EB568D"/>
    <w:rsid w:val="00ED7D29"/>
    <w:rsid w:val="00F06BCF"/>
    <w:rsid w:val="00F13C57"/>
    <w:rsid w:val="00F34C76"/>
    <w:rsid w:val="00F422E8"/>
    <w:rsid w:val="00F42C50"/>
    <w:rsid w:val="00F579D6"/>
    <w:rsid w:val="00F6159C"/>
    <w:rsid w:val="00F73812"/>
    <w:rsid w:val="00F81AE8"/>
    <w:rsid w:val="00F8773D"/>
    <w:rsid w:val="00FA7033"/>
    <w:rsid w:val="00FB259F"/>
    <w:rsid w:val="00FE6904"/>
    <w:rsid w:val="00FF52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21207"/>
  <w15:chartTrackingRefBased/>
  <w15:docId w15:val="{D7B07054-6D0E-4B37-9CFF-398EA061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6E5"/>
  </w:style>
  <w:style w:type="paragraph" w:styleId="Heading1">
    <w:name w:val="heading 1"/>
    <w:basedOn w:val="Normal"/>
    <w:next w:val="Normal"/>
    <w:link w:val="Heading1Char"/>
    <w:uiPriority w:val="9"/>
    <w:qFormat/>
    <w:rsid w:val="00C23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230"/>
    <w:rPr>
      <w:rFonts w:eastAsiaTheme="majorEastAsia" w:cstheme="majorBidi"/>
      <w:color w:val="272727" w:themeColor="text1" w:themeTint="D8"/>
    </w:rPr>
  </w:style>
  <w:style w:type="paragraph" w:styleId="Title">
    <w:name w:val="Title"/>
    <w:basedOn w:val="Normal"/>
    <w:next w:val="Normal"/>
    <w:link w:val="TitleChar"/>
    <w:uiPriority w:val="10"/>
    <w:qFormat/>
    <w:rsid w:val="00C23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230"/>
    <w:pPr>
      <w:spacing w:before="160"/>
      <w:jc w:val="center"/>
    </w:pPr>
    <w:rPr>
      <w:i/>
      <w:iCs/>
      <w:color w:val="404040" w:themeColor="text1" w:themeTint="BF"/>
    </w:rPr>
  </w:style>
  <w:style w:type="character" w:customStyle="1" w:styleId="QuoteChar">
    <w:name w:val="Quote Char"/>
    <w:basedOn w:val="DefaultParagraphFont"/>
    <w:link w:val="Quote"/>
    <w:uiPriority w:val="29"/>
    <w:rsid w:val="00C23230"/>
    <w:rPr>
      <w:i/>
      <w:iCs/>
      <w:color w:val="404040" w:themeColor="text1" w:themeTint="BF"/>
    </w:rPr>
  </w:style>
  <w:style w:type="paragraph" w:styleId="ListParagraph">
    <w:name w:val="List Paragraph"/>
    <w:basedOn w:val="Normal"/>
    <w:uiPriority w:val="34"/>
    <w:qFormat/>
    <w:rsid w:val="00C23230"/>
    <w:pPr>
      <w:ind w:left="720"/>
      <w:contextualSpacing/>
    </w:pPr>
  </w:style>
  <w:style w:type="character" w:styleId="IntenseEmphasis">
    <w:name w:val="Intense Emphasis"/>
    <w:basedOn w:val="DefaultParagraphFont"/>
    <w:uiPriority w:val="21"/>
    <w:qFormat/>
    <w:rsid w:val="00C23230"/>
    <w:rPr>
      <w:i/>
      <w:iCs/>
      <w:color w:val="0F4761" w:themeColor="accent1" w:themeShade="BF"/>
    </w:rPr>
  </w:style>
  <w:style w:type="paragraph" w:styleId="IntenseQuote">
    <w:name w:val="Intense Quote"/>
    <w:basedOn w:val="Normal"/>
    <w:next w:val="Normal"/>
    <w:link w:val="IntenseQuoteChar"/>
    <w:uiPriority w:val="30"/>
    <w:qFormat/>
    <w:rsid w:val="00C23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230"/>
    <w:rPr>
      <w:i/>
      <w:iCs/>
      <w:color w:val="0F4761" w:themeColor="accent1" w:themeShade="BF"/>
    </w:rPr>
  </w:style>
  <w:style w:type="character" w:styleId="IntenseReference">
    <w:name w:val="Intense Reference"/>
    <w:basedOn w:val="DefaultParagraphFont"/>
    <w:uiPriority w:val="32"/>
    <w:qFormat/>
    <w:rsid w:val="00C23230"/>
    <w:rPr>
      <w:b/>
      <w:bCs/>
      <w:smallCaps/>
      <w:color w:val="0F4761" w:themeColor="accent1" w:themeShade="BF"/>
      <w:spacing w:val="5"/>
    </w:rPr>
  </w:style>
  <w:style w:type="paragraph" w:styleId="Header">
    <w:name w:val="header"/>
    <w:basedOn w:val="Normal"/>
    <w:link w:val="HeaderChar"/>
    <w:uiPriority w:val="99"/>
    <w:unhideWhenUsed/>
    <w:rsid w:val="00134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A3D"/>
  </w:style>
  <w:style w:type="paragraph" w:styleId="Footer">
    <w:name w:val="footer"/>
    <w:basedOn w:val="Normal"/>
    <w:link w:val="FooterChar"/>
    <w:uiPriority w:val="99"/>
    <w:unhideWhenUsed/>
    <w:rsid w:val="00134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A3D"/>
  </w:style>
  <w:style w:type="paragraph" w:styleId="BodyText">
    <w:name w:val="Body Text"/>
    <w:basedOn w:val="Normal"/>
    <w:link w:val="BodyTextChar"/>
    <w:rsid w:val="00F34C76"/>
    <w:pPr>
      <w:spacing w:after="120" w:line="240" w:lineRule="auto"/>
    </w:pPr>
    <w:rPr>
      <w:rFonts w:ascii="Times New Roman" w:eastAsia="Times New Roman" w:hAnsi="Times New Roman" w:cs="Times New Roman"/>
      <w:kern w:val="0"/>
      <w:sz w:val="24"/>
      <w:szCs w:val="24"/>
      <w:lang w:val="en-GB" w:eastAsia="en-GB"/>
      <w14:ligatures w14:val="none"/>
    </w:rPr>
  </w:style>
  <w:style w:type="character" w:customStyle="1" w:styleId="BodyTextChar">
    <w:name w:val="Body Text Char"/>
    <w:basedOn w:val="DefaultParagraphFont"/>
    <w:link w:val="BodyText"/>
    <w:rsid w:val="00F34C76"/>
    <w:rPr>
      <w:rFonts w:ascii="Times New Roman" w:eastAsia="Times New Roman" w:hAnsi="Times New Roman" w:cs="Times New Roman"/>
      <w:kern w:val="0"/>
      <w:sz w:val="24"/>
      <w:szCs w:val="24"/>
      <w:lang w:val="en-GB" w:eastAsia="en-GB"/>
      <w14:ligatures w14:val="none"/>
    </w:rPr>
  </w:style>
  <w:style w:type="paragraph" w:styleId="TOCHeading">
    <w:name w:val="TOC Heading"/>
    <w:basedOn w:val="Heading1"/>
    <w:next w:val="Normal"/>
    <w:uiPriority w:val="39"/>
    <w:unhideWhenUsed/>
    <w:qFormat/>
    <w:rsid w:val="00C970FC"/>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C970FC"/>
    <w:pPr>
      <w:spacing w:after="100"/>
    </w:pPr>
  </w:style>
  <w:style w:type="character" w:styleId="Hyperlink">
    <w:name w:val="Hyperlink"/>
    <w:basedOn w:val="DefaultParagraphFont"/>
    <w:uiPriority w:val="99"/>
    <w:unhideWhenUsed/>
    <w:rsid w:val="00C970FC"/>
    <w:rPr>
      <w:color w:val="467886" w:themeColor="hyperlink"/>
      <w:u w:val="single"/>
    </w:rPr>
  </w:style>
  <w:style w:type="paragraph" w:styleId="NormalWeb">
    <w:name w:val="Normal (Web)"/>
    <w:basedOn w:val="Normal"/>
    <w:uiPriority w:val="99"/>
    <w:semiHidden/>
    <w:unhideWhenUsed/>
    <w:rsid w:val="007A2C5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7A2C5D"/>
    <w:rPr>
      <w:b/>
      <w:bCs/>
    </w:rPr>
  </w:style>
  <w:style w:type="character" w:styleId="CommentReference">
    <w:name w:val="annotation reference"/>
    <w:basedOn w:val="DefaultParagraphFont"/>
    <w:uiPriority w:val="99"/>
    <w:semiHidden/>
    <w:unhideWhenUsed/>
    <w:rsid w:val="00033184"/>
    <w:rPr>
      <w:sz w:val="16"/>
      <w:szCs w:val="16"/>
    </w:rPr>
  </w:style>
  <w:style w:type="paragraph" w:styleId="CommentText">
    <w:name w:val="annotation text"/>
    <w:basedOn w:val="Normal"/>
    <w:link w:val="CommentTextChar"/>
    <w:uiPriority w:val="99"/>
    <w:unhideWhenUsed/>
    <w:rsid w:val="00033184"/>
    <w:pPr>
      <w:spacing w:line="240" w:lineRule="auto"/>
    </w:pPr>
    <w:rPr>
      <w:sz w:val="20"/>
      <w:szCs w:val="20"/>
    </w:rPr>
  </w:style>
  <w:style w:type="character" w:customStyle="1" w:styleId="CommentTextChar">
    <w:name w:val="Comment Text Char"/>
    <w:basedOn w:val="DefaultParagraphFont"/>
    <w:link w:val="CommentText"/>
    <w:uiPriority w:val="99"/>
    <w:rsid w:val="00033184"/>
    <w:rPr>
      <w:sz w:val="20"/>
      <w:szCs w:val="20"/>
    </w:rPr>
  </w:style>
  <w:style w:type="paragraph" w:styleId="CommentSubject">
    <w:name w:val="annotation subject"/>
    <w:basedOn w:val="CommentText"/>
    <w:next w:val="CommentText"/>
    <w:link w:val="CommentSubjectChar"/>
    <w:uiPriority w:val="99"/>
    <w:semiHidden/>
    <w:unhideWhenUsed/>
    <w:rsid w:val="00033184"/>
    <w:rPr>
      <w:b/>
      <w:bCs/>
    </w:rPr>
  </w:style>
  <w:style w:type="character" w:customStyle="1" w:styleId="CommentSubjectChar">
    <w:name w:val="Comment Subject Char"/>
    <w:basedOn w:val="CommentTextChar"/>
    <w:link w:val="CommentSubject"/>
    <w:uiPriority w:val="99"/>
    <w:semiHidden/>
    <w:rsid w:val="000331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0618">
      <w:bodyDiv w:val="1"/>
      <w:marLeft w:val="0"/>
      <w:marRight w:val="0"/>
      <w:marTop w:val="0"/>
      <w:marBottom w:val="0"/>
      <w:divBdr>
        <w:top w:val="none" w:sz="0" w:space="0" w:color="auto"/>
        <w:left w:val="none" w:sz="0" w:space="0" w:color="auto"/>
        <w:bottom w:val="none" w:sz="0" w:space="0" w:color="auto"/>
        <w:right w:val="none" w:sz="0" w:space="0" w:color="auto"/>
      </w:divBdr>
    </w:div>
    <w:div w:id="260258761">
      <w:bodyDiv w:val="1"/>
      <w:marLeft w:val="0"/>
      <w:marRight w:val="0"/>
      <w:marTop w:val="0"/>
      <w:marBottom w:val="0"/>
      <w:divBdr>
        <w:top w:val="none" w:sz="0" w:space="0" w:color="auto"/>
        <w:left w:val="none" w:sz="0" w:space="0" w:color="auto"/>
        <w:bottom w:val="none" w:sz="0" w:space="0" w:color="auto"/>
        <w:right w:val="none" w:sz="0" w:space="0" w:color="auto"/>
      </w:divBdr>
    </w:div>
    <w:div w:id="1138035632">
      <w:bodyDiv w:val="1"/>
      <w:marLeft w:val="0"/>
      <w:marRight w:val="0"/>
      <w:marTop w:val="0"/>
      <w:marBottom w:val="0"/>
      <w:divBdr>
        <w:top w:val="none" w:sz="0" w:space="0" w:color="auto"/>
        <w:left w:val="none" w:sz="0" w:space="0" w:color="auto"/>
        <w:bottom w:val="none" w:sz="0" w:space="0" w:color="auto"/>
        <w:right w:val="none" w:sz="0" w:space="0" w:color="auto"/>
      </w:divBdr>
    </w:div>
    <w:div w:id="1207180148">
      <w:bodyDiv w:val="1"/>
      <w:marLeft w:val="0"/>
      <w:marRight w:val="0"/>
      <w:marTop w:val="0"/>
      <w:marBottom w:val="0"/>
      <w:divBdr>
        <w:top w:val="none" w:sz="0" w:space="0" w:color="auto"/>
        <w:left w:val="none" w:sz="0" w:space="0" w:color="auto"/>
        <w:bottom w:val="none" w:sz="0" w:space="0" w:color="auto"/>
        <w:right w:val="none" w:sz="0" w:space="0" w:color="auto"/>
      </w:divBdr>
    </w:div>
    <w:div w:id="1323312899">
      <w:bodyDiv w:val="1"/>
      <w:marLeft w:val="0"/>
      <w:marRight w:val="0"/>
      <w:marTop w:val="0"/>
      <w:marBottom w:val="0"/>
      <w:divBdr>
        <w:top w:val="none" w:sz="0" w:space="0" w:color="auto"/>
        <w:left w:val="none" w:sz="0" w:space="0" w:color="auto"/>
        <w:bottom w:val="none" w:sz="0" w:space="0" w:color="auto"/>
        <w:right w:val="none" w:sz="0" w:space="0" w:color="auto"/>
      </w:divBdr>
    </w:div>
    <w:div w:id="1488060559">
      <w:bodyDiv w:val="1"/>
      <w:marLeft w:val="0"/>
      <w:marRight w:val="0"/>
      <w:marTop w:val="0"/>
      <w:marBottom w:val="0"/>
      <w:divBdr>
        <w:top w:val="none" w:sz="0" w:space="0" w:color="auto"/>
        <w:left w:val="none" w:sz="0" w:space="0" w:color="auto"/>
        <w:bottom w:val="none" w:sz="0" w:space="0" w:color="auto"/>
        <w:right w:val="none" w:sz="0" w:space="0" w:color="auto"/>
      </w:divBdr>
    </w:div>
    <w:div w:id="186293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E0615-33FB-4A1F-8A80-E39B2C69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Links>
    <vt:vector size="36" baseType="variant">
      <vt:variant>
        <vt:i4>1048639</vt:i4>
      </vt:variant>
      <vt:variant>
        <vt:i4>32</vt:i4>
      </vt:variant>
      <vt:variant>
        <vt:i4>0</vt:i4>
      </vt:variant>
      <vt:variant>
        <vt:i4>5</vt:i4>
      </vt:variant>
      <vt:variant>
        <vt:lpwstr/>
      </vt:variant>
      <vt:variant>
        <vt:lpwstr>_Toc204082151</vt:lpwstr>
      </vt:variant>
      <vt:variant>
        <vt:i4>1048639</vt:i4>
      </vt:variant>
      <vt:variant>
        <vt:i4>26</vt:i4>
      </vt:variant>
      <vt:variant>
        <vt:i4>0</vt:i4>
      </vt:variant>
      <vt:variant>
        <vt:i4>5</vt:i4>
      </vt:variant>
      <vt:variant>
        <vt:lpwstr/>
      </vt:variant>
      <vt:variant>
        <vt:lpwstr>_Toc204082150</vt:lpwstr>
      </vt:variant>
      <vt:variant>
        <vt:i4>1114175</vt:i4>
      </vt:variant>
      <vt:variant>
        <vt:i4>20</vt:i4>
      </vt:variant>
      <vt:variant>
        <vt:i4>0</vt:i4>
      </vt:variant>
      <vt:variant>
        <vt:i4>5</vt:i4>
      </vt:variant>
      <vt:variant>
        <vt:lpwstr/>
      </vt:variant>
      <vt:variant>
        <vt:lpwstr>_Toc204082149</vt:lpwstr>
      </vt:variant>
      <vt:variant>
        <vt:i4>1114175</vt:i4>
      </vt:variant>
      <vt:variant>
        <vt:i4>14</vt:i4>
      </vt:variant>
      <vt:variant>
        <vt:i4>0</vt:i4>
      </vt:variant>
      <vt:variant>
        <vt:i4>5</vt:i4>
      </vt:variant>
      <vt:variant>
        <vt:lpwstr/>
      </vt:variant>
      <vt:variant>
        <vt:lpwstr>_Toc204082148</vt:lpwstr>
      </vt:variant>
      <vt:variant>
        <vt:i4>1114175</vt:i4>
      </vt:variant>
      <vt:variant>
        <vt:i4>8</vt:i4>
      </vt:variant>
      <vt:variant>
        <vt:i4>0</vt:i4>
      </vt:variant>
      <vt:variant>
        <vt:i4>5</vt:i4>
      </vt:variant>
      <vt:variant>
        <vt:lpwstr/>
      </vt:variant>
      <vt:variant>
        <vt:lpwstr>_Toc204082147</vt:lpwstr>
      </vt:variant>
      <vt:variant>
        <vt:i4>1114175</vt:i4>
      </vt:variant>
      <vt:variant>
        <vt:i4>2</vt:i4>
      </vt:variant>
      <vt:variant>
        <vt:i4>0</vt:i4>
      </vt:variant>
      <vt:variant>
        <vt:i4>5</vt:i4>
      </vt:variant>
      <vt:variant>
        <vt:lpwstr/>
      </vt:variant>
      <vt:variant>
        <vt:lpwstr>_Toc204082146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 Shah</dc:creator>
  <cp:keywords/>
  <dc:description/>
  <cp:lastModifiedBy>Sanjay Shah</cp:lastModifiedBy>
  <cp:revision>140</cp:revision>
  <dcterms:created xsi:type="dcterms:W3CDTF">2025-07-17T22:41:00Z</dcterms:created>
  <dcterms:modified xsi:type="dcterms:W3CDTF">2026-05-07T07:30:00Z</dcterms:modified>
</cp:coreProperties>
</file>