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467"/>
        <w:gridCol w:w="7049"/>
      </w:tblGrid>
      <w:tr w:rsidR="00FE4F89" w:rsidRPr="00FE4F89" w14:paraId="1C623A1F" w14:textId="77777777" w:rsidTr="00A47CCA">
        <w:trPr>
          <w:trHeight w:val="560"/>
        </w:trPr>
        <w:tc>
          <w:tcPr>
            <w:tcW w:w="8516" w:type="dxa"/>
            <w:gridSpan w:val="2"/>
            <w:noWrap/>
            <w:hideMark/>
          </w:tcPr>
          <w:p w14:paraId="4AF7B832" w14:textId="77777777" w:rsidR="00FE4F89" w:rsidRPr="00FE4F89" w:rsidRDefault="00FE4F89" w:rsidP="00FE4F89">
            <w:pPr>
              <w:rPr>
                <w:b/>
                <w:bCs/>
              </w:rPr>
            </w:pPr>
            <w:r w:rsidRPr="00FE4F89">
              <w:rPr>
                <w:b/>
                <w:bCs/>
              </w:rPr>
              <w:t>ANNEXURE A — COMMON DECLARATION ON COMPLIANCE OF QUALITATIVE ASPECTS</w:t>
            </w:r>
          </w:p>
        </w:tc>
      </w:tr>
      <w:tr w:rsidR="00FE4F89" w:rsidRPr="00FE4F89" w14:paraId="73AA3EFE" w14:textId="77777777" w:rsidTr="00A47CCA">
        <w:trPr>
          <w:trHeight w:val="290"/>
        </w:trPr>
        <w:tc>
          <w:tcPr>
            <w:tcW w:w="1467" w:type="dxa"/>
            <w:noWrap/>
            <w:hideMark/>
          </w:tcPr>
          <w:p w14:paraId="7F5C7693" w14:textId="77777777" w:rsidR="00FE4F89" w:rsidRPr="00FE4F89" w:rsidRDefault="00FE4F89">
            <w:pPr>
              <w:rPr>
                <w:b/>
                <w:bCs/>
              </w:rPr>
            </w:pPr>
            <w:r w:rsidRPr="00FE4F89">
              <w:rPr>
                <w:b/>
                <w:bCs/>
              </w:rPr>
              <w:t>To:</w:t>
            </w:r>
          </w:p>
        </w:tc>
        <w:tc>
          <w:tcPr>
            <w:tcW w:w="7049" w:type="dxa"/>
            <w:noWrap/>
            <w:hideMark/>
          </w:tcPr>
          <w:p w14:paraId="193DD1E7" w14:textId="77777777" w:rsidR="00FE4F89" w:rsidRPr="00FE4F89" w:rsidRDefault="00FE4F89">
            <w:r w:rsidRPr="00FE4F89">
              <w:t>Securities and Exchange Board of India, Mumbai, India</w:t>
            </w:r>
          </w:p>
        </w:tc>
      </w:tr>
      <w:tr w:rsidR="00FE4F89" w:rsidRPr="00FE4F89" w14:paraId="4F1E6A73" w14:textId="77777777" w:rsidTr="00A47CCA">
        <w:trPr>
          <w:trHeight w:val="290"/>
        </w:trPr>
        <w:tc>
          <w:tcPr>
            <w:tcW w:w="8516" w:type="dxa"/>
            <w:gridSpan w:val="2"/>
            <w:noWrap/>
            <w:hideMark/>
          </w:tcPr>
          <w:p w14:paraId="653F7954" w14:textId="77777777" w:rsidR="00FE4F89" w:rsidRPr="00FE4F89" w:rsidRDefault="00FE4F89">
            <w:pPr>
              <w:rPr>
                <w:b/>
                <w:bCs/>
              </w:rPr>
            </w:pPr>
            <w:r w:rsidRPr="00FE4F89">
              <w:rPr>
                <w:b/>
                <w:bCs/>
              </w:rPr>
              <w:t>From (Entity Name):</w:t>
            </w:r>
          </w:p>
        </w:tc>
      </w:tr>
      <w:tr w:rsidR="00FE4F89" w:rsidRPr="00FE4F89" w14:paraId="161F70E4" w14:textId="77777777" w:rsidTr="00A47CCA">
        <w:trPr>
          <w:trHeight w:val="290"/>
        </w:trPr>
        <w:tc>
          <w:tcPr>
            <w:tcW w:w="8516" w:type="dxa"/>
            <w:gridSpan w:val="2"/>
            <w:noWrap/>
            <w:hideMark/>
          </w:tcPr>
          <w:p w14:paraId="5CE69CEF" w14:textId="77777777" w:rsidR="00FE4F89" w:rsidRPr="00FE4F89" w:rsidRDefault="00FE4F89">
            <w:pPr>
              <w:rPr>
                <w:b/>
                <w:bCs/>
              </w:rPr>
            </w:pPr>
            <w:r w:rsidRPr="00FE4F89">
              <w:rPr>
                <w:b/>
                <w:bCs/>
              </w:rPr>
              <w:t>SEBI Registration No.:</w:t>
            </w:r>
          </w:p>
        </w:tc>
      </w:tr>
      <w:tr w:rsidR="00FE4F89" w:rsidRPr="00FE4F89" w14:paraId="28F263E4" w14:textId="77777777" w:rsidTr="00A47CCA">
        <w:trPr>
          <w:trHeight w:val="290"/>
        </w:trPr>
        <w:tc>
          <w:tcPr>
            <w:tcW w:w="1467" w:type="dxa"/>
            <w:noWrap/>
            <w:hideMark/>
          </w:tcPr>
          <w:p w14:paraId="4F3A9C2A" w14:textId="77777777" w:rsidR="00FE4F89" w:rsidRPr="00FE4F89" w:rsidRDefault="00FE4F89">
            <w:pPr>
              <w:rPr>
                <w:b/>
                <w:bCs/>
              </w:rPr>
            </w:pPr>
            <w:r w:rsidRPr="00FE4F89">
              <w:rPr>
                <w:b/>
                <w:bCs/>
              </w:rPr>
              <w:t>Financial Year:</w:t>
            </w:r>
          </w:p>
        </w:tc>
        <w:tc>
          <w:tcPr>
            <w:tcW w:w="7049" w:type="dxa"/>
            <w:noWrap/>
            <w:hideMark/>
          </w:tcPr>
          <w:p w14:paraId="1685E016" w14:textId="77777777" w:rsidR="00FE4F89" w:rsidRPr="00FE4F89" w:rsidRDefault="00FE4F89">
            <w:r w:rsidRPr="00FE4F89">
              <w:t>FY 2025-26</w:t>
            </w:r>
          </w:p>
        </w:tc>
      </w:tr>
      <w:tr w:rsidR="00FE4F89" w:rsidRPr="00FE4F89" w14:paraId="695F81A4" w14:textId="77777777" w:rsidTr="00A47CCA">
        <w:trPr>
          <w:trHeight w:val="290"/>
        </w:trPr>
        <w:tc>
          <w:tcPr>
            <w:tcW w:w="8516" w:type="dxa"/>
            <w:gridSpan w:val="2"/>
            <w:noWrap/>
            <w:hideMark/>
          </w:tcPr>
          <w:p w14:paraId="75EEE8A2" w14:textId="77777777" w:rsidR="00FE4F89" w:rsidRPr="00FE4F89" w:rsidRDefault="00FE4F89">
            <w:pPr>
              <w:rPr>
                <w:b/>
                <w:bCs/>
              </w:rPr>
            </w:pPr>
            <w:r w:rsidRPr="00FE4F89">
              <w:rPr>
                <w:b/>
                <w:bCs/>
              </w:rPr>
              <w:t>Submitted by (PO Name):</w:t>
            </w:r>
          </w:p>
        </w:tc>
      </w:tr>
      <w:tr w:rsidR="00FE4F89" w:rsidRPr="00FE4F89" w14:paraId="4EFBE294" w14:textId="77777777" w:rsidTr="00A47CCA">
        <w:trPr>
          <w:trHeight w:val="290"/>
        </w:trPr>
        <w:tc>
          <w:tcPr>
            <w:tcW w:w="1467" w:type="dxa"/>
            <w:noWrap/>
            <w:hideMark/>
          </w:tcPr>
          <w:p w14:paraId="0FFD54E9" w14:textId="77777777" w:rsidR="00FE4F89" w:rsidRPr="00FE4F89" w:rsidRDefault="00FE4F89">
            <w:pPr>
              <w:rPr>
                <w:b/>
                <w:bCs/>
              </w:rPr>
            </w:pPr>
            <w:r w:rsidRPr="00FE4F89">
              <w:rPr>
                <w:b/>
                <w:bCs/>
              </w:rPr>
              <w:t>Designation:</w:t>
            </w:r>
          </w:p>
        </w:tc>
        <w:tc>
          <w:tcPr>
            <w:tcW w:w="7049" w:type="dxa"/>
            <w:noWrap/>
            <w:hideMark/>
          </w:tcPr>
          <w:p w14:paraId="04AF2A71" w14:textId="77777777" w:rsidR="00FE4F89" w:rsidRPr="00FE4F89" w:rsidRDefault="00FE4F89">
            <w:r w:rsidRPr="00FE4F89">
              <w:t>Principal Officer</w:t>
            </w:r>
          </w:p>
        </w:tc>
      </w:tr>
      <w:tr w:rsidR="00FE4F89" w:rsidRPr="00FE4F89" w14:paraId="41E4E4B6" w14:textId="77777777" w:rsidTr="00A47CCA">
        <w:trPr>
          <w:trHeight w:val="290"/>
        </w:trPr>
        <w:tc>
          <w:tcPr>
            <w:tcW w:w="8516" w:type="dxa"/>
            <w:gridSpan w:val="2"/>
            <w:noWrap/>
            <w:hideMark/>
          </w:tcPr>
          <w:p w14:paraId="30302414" w14:textId="77777777" w:rsidR="00FE4F89" w:rsidRPr="00FE4F89" w:rsidRDefault="00FE4F89">
            <w:pPr>
              <w:rPr>
                <w:b/>
                <w:bCs/>
              </w:rPr>
            </w:pPr>
            <w:r w:rsidRPr="00FE4F89">
              <w:rPr>
                <w:b/>
                <w:bCs/>
              </w:rPr>
              <w:t>Date of Submission:</w:t>
            </w:r>
          </w:p>
        </w:tc>
      </w:tr>
      <w:tr w:rsidR="00FE4F89" w:rsidRPr="00FE4F89" w14:paraId="38C0DE6B" w14:textId="77777777" w:rsidTr="00A47CCA">
        <w:trPr>
          <w:trHeight w:val="290"/>
        </w:trPr>
        <w:tc>
          <w:tcPr>
            <w:tcW w:w="1467" w:type="dxa"/>
            <w:noWrap/>
            <w:hideMark/>
          </w:tcPr>
          <w:p w14:paraId="052704F8" w14:textId="77777777" w:rsidR="00FE4F89" w:rsidRPr="00FE4F89" w:rsidRDefault="00FE4F89">
            <w:pPr>
              <w:rPr>
                <w:b/>
                <w:bCs/>
              </w:rPr>
            </w:pPr>
          </w:p>
        </w:tc>
        <w:tc>
          <w:tcPr>
            <w:tcW w:w="7049" w:type="dxa"/>
            <w:noWrap/>
            <w:hideMark/>
          </w:tcPr>
          <w:p w14:paraId="44F65252" w14:textId="77777777" w:rsidR="00FE4F89" w:rsidRPr="00FE4F89" w:rsidRDefault="00FE4F89"/>
        </w:tc>
      </w:tr>
      <w:tr w:rsidR="00FE4F89" w:rsidRPr="00FE4F89" w14:paraId="5308057B" w14:textId="77777777" w:rsidTr="00A47CCA">
        <w:trPr>
          <w:trHeight w:val="290"/>
        </w:trPr>
        <w:tc>
          <w:tcPr>
            <w:tcW w:w="8516" w:type="dxa"/>
            <w:gridSpan w:val="2"/>
            <w:noWrap/>
            <w:hideMark/>
          </w:tcPr>
          <w:p w14:paraId="5A218569" w14:textId="77777777" w:rsidR="00FE4F89" w:rsidRPr="00FE4F89" w:rsidRDefault="00FE4F89">
            <w:pPr>
              <w:rPr>
                <w:b/>
                <w:bCs/>
              </w:rPr>
            </w:pPr>
            <w:r w:rsidRPr="00FE4F89">
              <w:rPr>
                <w:b/>
                <w:bCs/>
              </w:rPr>
              <w:t>I/We hereby confirm complying with the below mentioned:</w:t>
            </w:r>
          </w:p>
        </w:tc>
      </w:tr>
      <w:tr w:rsidR="00FE4F89" w:rsidRPr="00FE4F89" w14:paraId="11D1210D" w14:textId="77777777" w:rsidTr="00A47CCA">
        <w:trPr>
          <w:trHeight w:val="600"/>
        </w:trPr>
        <w:tc>
          <w:tcPr>
            <w:tcW w:w="1467" w:type="dxa"/>
            <w:noWrap/>
            <w:hideMark/>
          </w:tcPr>
          <w:p w14:paraId="75C70E95" w14:textId="77777777" w:rsidR="00FE4F89" w:rsidRPr="00FE4F89" w:rsidRDefault="00FE4F89" w:rsidP="00FE4F89">
            <w:pPr>
              <w:rPr>
                <w:b/>
                <w:bCs/>
              </w:rPr>
            </w:pPr>
            <w:r w:rsidRPr="00FE4F89">
              <w:rPr>
                <w:b/>
                <w:bCs/>
              </w:rPr>
              <w:t>1</w:t>
            </w:r>
          </w:p>
        </w:tc>
        <w:tc>
          <w:tcPr>
            <w:tcW w:w="7049" w:type="dxa"/>
            <w:hideMark/>
          </w:tcPr>
          <w:p w14:paraId="70874E3B" w14:textId="77777777" w:rsidR="00FE4F89" w:rsidRPr="00FE4F89" w:rsidRDefault="00FE4F89">
            <w:r w:rsidRPr="00FE4F89">
              <w:t>Requirements for Dealing Room and Dealing Team as specified in Clause 2.7.2 and maintenance of audit trail for all activities related to management of funds and securities of clients as per Clause 2.7.4 of the Master Circular for Portfolio Managers (Master Circular).</w:t>
            </w:r>
          </w:p>
        </w:tc>
      </w:tr>
      <w:tr w:rsidR="00FE4F89" w:rsidRPr="00FE4F89" w14:paraId="20753F9D" w14:textId="77777777" w:rsidTr="00A47CCA">
        <w:trPr>
          <w:trHeight w:val="600"/>
        </w:trPr>
        <w:tc>
          <w:tcPr>
            <w:tcW w:w="1467" w:type="dxa"/>
            <w:noWrap/>
            <w:hideMark/>
          </w:tcPr>
          <w:p w14:paraId="1EEDADB1" w14:textId="77777777" w:rsidR="00FE4F89" w:rsidRPr="00FE4F89" w:rsidRDefault="00FE4F89" w:rsidP="00FE4F89">
            <w:pPr>
              <w:rPr>
                <w:b/>
                <w:bCs/>
              </w:rPr>
            </w:pPr>
            <w:r w:rsidRPr="00FE4F89">
              <w:rPr>
                <w:b/>
                <w:bCs/>
              </w:rPr>
              <w:t>2</w:t>
            </w:r>
          </w:p>
        </w:tc>
        <w:tc>
          <w:tcPr>
            <w:tcW w:w="7049" w:type="dxa"/>
            <w:hideMark/>
          </w:tcPr>
          <w:p w14:paraId="1F2D1B19" w14:textId="77777777" w:rsidR="00FE4F89" w:rsidRPr="00FE4F89" w:rsidRDefault="00FE4F89">
            <w:r w:rsidRPr="00FE4F89">
              <w:t>The Portfolio Manager, Principal Officer, Directors, Promoters, Partners and Key Management Persons by whatever name called are fit and proper persons based on the criteria specified in Schedule II of the SEBI (Intermediaries) Regulations, 2008.</w:t>
            </w:r>
          </w:p>
        </w:tc>
      </w:tr>
      <w:tr w:rsidR="00FE4F89" w:rsidRPr="00FE4F89" w14:paraId="7ACC161E" w14:textId="77777777" w:rsidTr="00A47CCA">
        <w:trPr>
          <w:trHeight w:val="600"/>
        </w:trPr>
        <w:tc>
          <w:tcPr>
            <w:tcW w:w="1467" w:type="dxa"/>
            <w:noWrap/>
            <w:hideMark/>
          </w:tcPr>
          <w:p w14:paraId="4D161FFC" w14:textId="77777777" w:rsidR="00FE4F89" w:rsidRPr="00FE4F89" w:rsidRDefault="00FE4F89" w:rsidP="00FE4F89">
            <w:pPr>
              <w:rPr>
                <w:b/>
                <w:bCs/>
              </w:rPr>
            </w:pPr>
            <w:r w:rsidRPr="00FE4F89">
              <w:rPr>
                <w:b/>
                <w:bCs/>
              </w:rPr>
              <w:t>3</w:t>
            </w:r>
          </w:p>
        </w:tc>
        <w:tc>
          <w:tcPr>
            <w:tcW w:w="7049" w:type="dxa"/>
            <w:hideMark/>
          </w:tcPr>
          <w:p w14:paraId="64D5D7FE" w14:textId="77777777" w:rsidR="00FE4F89" w:rsidRPr="00FE4F89" w:rsidRDefault="00FE4F89">
            <w:r w:rsidRPr="00FE4F89">
              <w:t>No disciplinary action was taken against us as mentioned in Regulation 7(2)(f) in the FY ______.</w:t>
            </w:r>
          </w:p>
        </w:tc>
      </w:tr>
      <w:tr w:rsidR="00FE4F89" w:rsidRPr="00FE4F89" w14:paraId="1FBCFB12" w14:textId="77777777" w:rsidTr="00A47CCA">
        <w:trPr>
          <w:trHeight w:val="600"/>
        </w:trPr>
        <w:tc>
          <w:tcPr>
            <w:tcW w:w="1467" w:type="dxa"/>
            <w:noWrap/>
            <w:hideMark/>
          </w:tcPr>
          <w:p w14:paraId="02797DDB" w14:textId="77777777" w:rsidR="00FE4F89" w:rsidRPr="00FE4F89" w:rsidRDefault="00FE4F89" w:rsidP="00FE4F89">
            <w:pPr>
              <w:rPr>
                <w:b/>
                <w:bCs/>
              </w:rPr>
            </w:pPr>
            <w:r w:rsidRPr="00FE4F89">
              <w:rPr>
                <w:b/>
                <w:bCs/>
              </w:rPr>
              <w:t>4</w:t>
            </w:r>
          </w:p>
        </w:tc>
        <w:tc>
          <w:tcPr>
            <w:tcW w:w="7049" w:type="dxa"/>
            <w:hideMark/>
          </w:tcPr>
          <w:p w14:paraId="09DDDEE7" w14:textId="77777777" w:rsidR="00FE4F89" w:rsidRPr="00FE4F89" w:rsidRDefault="00FE4F89">
            <w:r w:rsidRPr="00FE4F89">
              <w:t>The agreements entered with clients in the FY______ are compliant with regulatory requirements including but not limited to Regulations 22(1) and 22(2).</w:t>
            </w:r>
          </w:p>
        </w:tc>
      </w:tr>
      <w:tr w:rsidR="00FE4F89" w:rsidRPr="00FE4F89" w14:paraId="0CA7DDB1" w14:textId="77777777" w:rsidTr="00A47CCA">
        <w:trPr>
          <w:trHeight w:val="600"/>
        </w:trPr>
        <w:tc>
          <w:tcPr>
            <w:tcW w:w="1467" w:type="dxa"/>
            <w:noWrap/>
            <w:hideMark/>
          </w:tcPr>
          <w:p w14:paraId="2FF8A005" w14:textId="77777777" w:rsidR="00FE4F89" w:rsidRPr="00FE4F89" w:rsidRDefault="00FE4F89" w:rsidP="00FE4F89">
            <w:pPr>
              <w:rPr>
                <w:b/>
                <w:bCs/>
              </w:rPr>
            </w:pPr>
            <w:r w:rsidRPr="00FE4F89">
              <w:rPr>
                <w:b/>
                <w:bCs/>
              </w:rPr>
              <w:t>5</w:t>
            </w:r>
          </w:p>
        </w:tc>
        <w:tc>
          <w:tcPr>
            <w:tcW w:w="7049" w:type="dxa"/>
            <w:hideMark/>
          </w:tcPr>
          <w:p w14:paraId="701FBD23" w14:textId="77777777" w:rsidR="00FE4F89" w:rsidRPr="00FE4F89" w:rsidRDefault="00FE4F89">
            <w:r w:rsidRPr="00FE4F89">
              <w:t>All heads of fees were part of the agreement entered between us and each client.</w:t>
            </w:r>
          </w:p>
        </w:tc>
      </w:tr>
      <w:tr w:rsidR="00FE4F89" w:rsidRPr="00FE4F89" w14:paraId="108E365A" w14:textId="77777777" w:rsidTr="00A47CCA">
        <w:trPr>
          <w:trHeight w:val="600"/>
        </w:trPr>
        <w:tc>
          <w:tcPr>
            <w:tcW w:w="1467" w:type="dxa"/>
            <w:noWrap/>
            <w:hideMark/>
          </w:tcPr>
          <w:p w14:paraId="1EF095D0" w14:textId="77777777" w:rsidR="00FE4F89" w:rsidRPr="00FE4F89" w:rsidRDefault="00FE4F89" w:rsidP="00FE4F89">
            <w:pPr>
              <w:rPr>
                <w:b/>
                <w:bCs/>
              </w:rPr>
            </w:pPr>
            <w:r w:rsidRPr="00FE4F89">
              <w:rPr>
                <w:b/>
                <w:bCs/>
              </w:rPr>
              <w:t>6</w:t>
            </w:r>
          </w:p>
        </w:tc>
        <w:tc>
          <w:tcPr>
            <w:tcW w:w="7049" w:type="dxa"/>
            <w:hideMark/>
          </w:tcPr>
          <w:p w14:paraId="0EAFFD1F" w14:textId="77777777" w:rsidR="00FE4F89" w:rsidRPr="00FE4F89" w:rsidRDefault="00FE4F89">
            <w:r w:rsidRPr="00FE4F89">
              <w:t>Disclosures are made regarding performance as per Regulation 22(4)(e) in terms Clause 4.5, 4.6 and 4.6A of Master Circular to all the active clients.</w:t>
            </w:r>
          </w:p>
        </w:tc>
      </w:tr>
      <w:tr w:rsidR="00FE4F89" w:rsidRPr="00FE4F89" w14:paraId="61C78D78" w14:textId="77777777" w:rsidTr="00A47CCA">
        <w:trPr>
          <w:trHeight w:val="600"/>
        </w:trPr>
        <w:tc>
          <w:tcPr>
            <w:tcW w:w="1467" w:type="dxa"/>
            <w:noWrap/>
            <w:hideMark/>
          </w:tcPr>
          <w:p w14:paraId="3AC7D4FD" w14:textId="77777777" w:rsidR="00FE4F89" w:rsidRPr="00FE4F89" w:rsidRDefault="00FE4F89" w:rsidP="00FE4F89">
            <w:pPr>
              <w:rPr>
                <w:b/>
                <w:bCs/>
              </w:rPr>
            </w:pPr>
            <w:r w:rsidRPr="00FE4F89">
              <w:rPr>
                <w:b/>
                <w:bCs/>
              </w:rPr>
              <w:t>7</w:t>
            </w:r>
          </w:p>
        </w:tc>
        <w:tc>
          <w:tcPr>
            <w:tcW w:w="7049" w:type="dxa"/>
            <w:hideMark/>
          </w:tcPr>
          <w:p w14:paraId="1F42D3E4" w14:textId="77777777" w:rsidR="00FE4F89" w:rsidRPr="00FE4F89" w:rsidRDefault="00FE4F89">
            <w:r w:rsidRPr="00FE4F89">
              <w:t>Automated systems are in place for funds and securities management in compliance with Clause 2.7.3 of the Master Circular.</w:t>
            </w:r>
          </w:p>
        </w:tc>
      </w:tr>
      <w:tr w:rsidR="00FE4F89" w:rsidRPr="00FE4F89" w14:paraId="0DFFEC3A" w14:textId="77777777" w:rsidTr="00A47CCA">
        <w:trPr>
          <w:trHeight w:val="600"/>
        </w:trPr>
        <w:tc>
          <w:tcPr>
            <w:tcW w:w="1467" w:type="dxa"/>
            <w:noWrap/>
            <w:hideMark/>
          </w:tcPr>
          <w:p w14:paraId="3F8B24E9" w14:textId="77777777" w:rsidR="00FE4F89" w:rsidRPr="00FE4F89" w:rsidRDefault="00FE4F89" w:rsidP="00FE4F89">
            <w:pPr>
              <w:rPr>
                <w:b/>
                <w:bCs/>
              </w:rPr>
            </w:pPr>
            <w:r w:rsidRPr="00FE4F89">
              <w:rPr>
                <w:b/>
                <w:bCs/>
              </w:rPr>
              <w:t>8</w:t>
            </w:r>
          </w:p>
        </w:tc>
        <w:tc>
          <w:tcPr>
            <w:tcW w:w="7049" w:type="dxa"/>
            <w:hideMark/>
          </w:tcPr>
          <w:p w14:paraId="5813E332" w14:textId="77777777" w:rsidR="00FE4F89" w:rsidRPr="00FE4F89" w:rsidRDefault="00FE4F89">
            <w:r w:rsidRPr="00FE4F89">
              <w:t>There is no deviation in disclosure documents shared with clients from the provisions made in Regulation 22(4) read with Schedule V and Regulation 22(12).</w:t>
            </w:r>
          </w:p>
        </w:tc>
      </w:tr>
      <w:tr w:rsidR="00FE4F89" w:rsidRPr="00FE4F89" w14:paraId="25FA3DB3" w14:textId="77777777" w:rsidTr="00A47CCA">
        <w:trPr>
          <w:trHeight w:val="600"/>
        </w:trPr>
        <w:tc>
          <w:tcPr>
            <w:tcW w:w="1467" w:type="dxa"/>
            <w:noWrap/>
            <w:hideMark/>
          </w:tcPr>
          <w:p w14:paraId="2E163899" w14:textId="77777777" w:rsidR="00FE4F89" w:rsidRPr="00FE4F89" w:rsidRDefault="00FE4F89" w:rsidP="00FE4F89">
            <w:pPr>
              <w:rPr>
                <w:b/>
                <w:bCs/>
              </w:rPr>
            </w:pPr>
            <w:r w:rsidRPr="00FE4F89">
              <w:rPr>
                <w:b/>
                <w:bCs/>
              </w:rPr>
              <w:t>9</w:t>
            </w:r>
          </w:p>
        </w:tc>
        <w:tc>
          <w:tcPr>
            <w:tcW w:w="7049" w:type="dxa"/>
            <w:hideMark/>
          </w:tcPr>
          <w:p w14:paraId="25862305" w14:textId="77777777" w:rsidR="00FE4F89" w:rsidRPr="00FE4F89" w:rsidRDefault="00FE4F89">
            <w:r w:rsidRPr="00FE4F89">
              <w:t>All material changes are disclosed in Disclosure Document and filed with SEBI in a timely manner.</w:t>
            </w:r>
          </w:p>
        </w:tc>
      </w:tr>
      <w:tr w:rsidR="00FE4F89" w:rsidRPr="00FE4F89" w14:paraId="3B20CB95" w14:textId="77777777" w:rsidTr="00A47CCA">
        <w:trPr>
          <w:trHeight w:val="600"/>
        </w:trPr>
        <w:tc>
          <w:tcPr>
            <w:tcW w:w="1467" w:type="dxa"/>
            <w:noWrap/>
            <w:hideMark/>
          </w:tcPr>
          <w:p w14:paraId="0C1DCF6D" w14:textId="77777777" w:rsidR="00FE4F89" w:rsidRPr="00FE4F89" w:rsidRDefault="00FE4F89" w:rsidP="00FE4F89">
            <w:pPr>
              <w:rPr>
                <w:b/>
                <w:bCs/>
              </w:rPr>
            </w:pPr>
            <w:r w:rsidRPr="00FE4F89">
              <w:rPr>
                <w:b/>
                <w:bCs/>
              </w:rPr>
              <w:t>10</w:t>
            </w:r>
          </w:p>
        </w:tc>
        <w:tc>
          <w:tcPr>
            <w:tcW w:w="7049" w:type="dxa"/>
            <w:hideMark/>
          </w:tcPr>
          <w:p w14:paraId="6EAB4271" w14:textId="77777777" w:rsidR="00FE4F89" w:rsidRPr="00FE4F89" w:rsidRDefault="00FE4F89">
            <w:r w:rsidRPr="00FE4F89">
              <w:t>The funds of discretionary clients are managed individually and independently by us without partaking the character of a Mutual Fund and we have followed all directions of our non-discretionary clients with respect to fund management.</w:t>
            </w:r>
          </w:p>
        </w:tc>
      </w:tr>
      <w:tr w:rsidR="00FE4F89" w:rsidRPr="00FE4F89" w14:paraId="54D9EB9D" w14:textId="77777777" w:rsidTr="00A47CCA">
        <w:trPr>
          <w:trHeight w:val="600"/>
        </w:trPr>
        <w:tc>
          <w:tcPr>
            <w:tcW w:w="1467" w:type="dxa"/>
            <w:noWrap/>
            <w:hideMark/>
          </w:tcPr>
          <w:p w14:paraId="742EE792" w14:textId="77777777" w:rsidR="00FE4F89" w:rsidRPr="00FE4F89" w:rsidRDefault="00FE4F89" w:rsidP="00FE4F89">
            <w:pPr>
              <w:rPr>
                <w:b/>
                <w:bCs/>
              </w:rPr>
            </w:pPr>
            <w:r w:rsidRPr="00FE4F89">
              <w:rPr>
                <w:b/>
                <w:bCs/>
              </w:rPr>
              <w:t>11</w:t>
            </w:r>
          </w:p>
        </w:tc>
        <w:tc>
          <w:tcPr>
            <w:tcW w:w="7049" w:type="dxa"/>
            <w:hideMark/>
          </w:tcPr>
          <w:p w14:paraId="4676C114" w14:textId="77777777" w:rsidR="00FE4F89" w:rsidRPr="00FE4F89" w:rsidRDefault="00FE4F89">
            <w:r w:rsidRPr="00FE4F89">
              <w:t xml:space="preserve">We act in a fiduciary capacity </w:t>
            </w:r>
            <w:proofErr w:type="gramStart"/>
            <w:r w:rsidRPr="00FE4F89">
              <w:t>with regard to</w:t>
            </w:r>
            <w:proofErr w:type="gramEnd"/>
            <w:r w:rsidRPr="00FE4F89">
              <w:t xml:space="preserve"> the client's funds.</w:t>
            </w:r>
          </w:p>
        </w:tc>
      </w:tr>
      <w:tr w:rsidR="00FE4F89" w:rsidRPr="00FE4F89" w14:paraId="153945BE" w14:textId="77777777" w:rsidTr="00A47CCA">
        <w:trPr>
          <w:trHeight w:val="600"/>
        </w:trPr>
        <w:tc>
          <w:tcPr>
            <w:tcW w:w="1467" w:type="dxa"/>
            <w:noWrap/>
            <w:hideMark/>
          </w:tcPr>
          <w:p w14:paraId="4730CD96" w14:textId="77777777" w:rsidR="00FE4F89" w:rsidRPr="00FE4F89" w:rsidRDefault="00FE4F89" w:rsidP="00FE4F89">
            <w:pPr>
              <w:rPr>
                <w:b/>
                <w:bCs/>
              </w:rPr>
            </w:pPr>
            <w:r w:rsidRPr="00FE4F89">
              <w:rPr>
                <w:b/>
                <w:bCs/>
              </w:rPr>
              <w:t>12</w:t>
            </w:r>
          </w:p>
        </w:tc>
        <w:tc>
          <w:tcPr>
            <w:tcW w:w="7049" w:type="dxa"/>
            <w:hideMark/>
          </w:tcPr>
          <w:p w14:paraId="364BCE62" w14:textId="77777777" w:rsidR="00FE4F89" w:rsidRPr="00FE4F89" w:rsidRDefault="00FE4F89">
            <w:r w:rsidRPr="00FE4F89">
              <w:t xml:space="preserve">The funds of all clients are kept in a </w:t>
            </w:r>
            <w:proofErr w:type="gramStart"/>
            <w:r w:rsidRPr="00FE4F89">
              <w:t>separate accounts</w:t>
            </w:r>
            <w:proofErr w:type="gramEnd"/>
            <w:r w:rsidRPr="00FE4F89">
              <w:t xml:space="preserve"> maintained in a Scheduled Commercial Bank.</w:t>
            </w:r>
          </w:p>
        </w:tc>
      </w:tr>
      <w:tr w:rsidR="00FE4F89" w:rsidRPr="00FE4F89" w14:paraId="1DBFEB43" w14:textId="77777777" w:rsidTr="00A47CCA">
        <w:trPr>
          <w:trHeight w:val="600"/>
        </w:trPr>
        <w:tc>
          <w:tcPr>
            <w:tcW w:w="1467" w:type="dxa"/>
            <w:noWrap/>
            <w:hideMark/>
          </w:tcPr>
          <w:p w14:paraId="51355015" w14:textId="77777777" w:rsidR="00FE4F89" w:rsidRPr="00FE4F89" w:rsidRDefault="00FE4F89" w:rsidP="00FE4F89">
            <w:pPr>
              <w:rPr>
                <w:b/>
                <w:bCs/>
              </w:rPr>
            </w:pPr>
            <w:r w:rsidRPr="00FE4F89">
              <w:rPr>
                <w:b/>
                <w:bCs/>
              </w:rPr>
              <w:lastRenderedPageBreak/>
              <w:t>13</w:t>
            </w:r>
          </w:p>
        </w:tc>
        <w:tc>
          <w:tcPr>
            <w:tcW w:w="7049" w:type="dxa"/>
            <w:hideMark/>
          </w:tcPr>
          <w:p w14:paraId="054E091A" w14:textId="77777777" w:rsidR="00FE4F89" w:rsidRPr="00FE4F89" w:rsidRDefault="00FE4F89">
            <w:r w:rsidRPr="00FE4F89">
              <w:t xml:space="preserve">We transact in securities within the limitation placed by the client himself </w:t>
            </w:r>
            <w:proofErr w:type="gramStart"/>
            <w:r w:rsidRPr="00FE4F89">
              <w:t>with regard to</w:t>
            </w:r>
            <w:proofErr w:type="gramEnd"/>
            <w:r w:rsidRPr="00FE4F89">
              <w:t xml:space="preserve"> dealing in securities under the provisions of the Reserve Bank of India Act, 1934 (2 of 1934).</w:t>
            </w:r>
          </w:p>
        </w:tc>
      </w:tr>
      <w:tr w:rsidR="00FE4F89" w:rsidRPr="00FE4F89" w14:paraId="14E0B54E" w14:textId="77777777" w:rsidTr="00A47CCA">
        <w:trPr>
          <w:trHeight w:val="600"/>
        </w:trPr>
        <w:tc>
          <w:tcPr>
            <w:tcW w:w="1467" w:type="dxa"/>
            <w:noWrap/>
            <w:hideMark/>
          </w:tcPr>
          <w:p w14:paraId="66B12162" w14:textId="77777777" w:rsidR="00FE4F89" w:rsidRPr="00FE4F89" w:rsidRDefault="00FE4F89" w:rsidP="00FE4F89">
            <w:pPr>
              <w:rPr>
                <w:b/>
                <w:bCs/>
              </w:rPr>
            </w:pPr>
            <w:r w:rsidRPr="00FE4F89">
              <w:rPr>
                <w:b/>
                <w:bCs/>
              </w:rPr>
              <w:t>14</w:t>
            </w:r>
          </w:p>
        </w:tc>
        <w:tc>
          <w:tcPr>
            <w:tcW w:w="7049" w:type="dxa"/>
            <w:hideMark/>
          </w:tcPr>
          <w:p w14:paraId="345AA7B6" w14:textId="77777777" w:rsidR="00FE4F89" w:rsidRPr="00FE4F89" w:rsidRDefault="00FE4F89">
            <w:r w:rsidRPr="00FE4F89">
              <w:t>We have not derived any direct or indirect benefit out of the client's funds or securities.</w:t>
            </w:r>
          </w:p>
        </w:tc>
      </w:tr>
      <w:tr w:rsidR="00FE4F89" w:rsidRPr="00FE4F89" w14:paraId="67E90FC9" w14:textId="77777777" w:rsidTr="00A47CCA">
        <w:trPr>
          <w:trHeight w:val="600"/>
        </w:trPr>
        <w:tc>
          <w:tcPr>
            <w:tcW w:w="1467" w:type="dxa"/>
            <w:noWrap/>
            <w:hideMark/>
          </w:tcPr>
          <w:p w14:paraId="0B98300E" w14:textId="77777777" w:rsidR="00FE4F89" w:rsidRPr="00FE4F89" w:rsidRDefault="00FE4F89" w:rsidP="00FE4F89">
            <w:pPr>
              <w:rPr>
                <w:b/>
                <w:bCs/>
              </w:rPr>
            </w:pPr>
            <w:r w:rsidRPr="00FE4F89">
              <w:rPr>
                <w:b/>
                <w:bCs/>
              </w:rPr>
              <w:t>15</w:t>
            </w:r>
          </w:p>
        </w:tc>
        <w:tc>
          <w:tcPr>
            <w:tcW w:w="7049" w:type="dxa"/>
            <w:hideMark/>
          </w:tcPr>
          <w:p w14:paraId="68783DD5" w14:textId="77777777" w:rsidR="00FE4F89" w:rsidRPr="00FE4F89" w:rsidRDefault="00FE4F89">
            <w:r w:rsidRPr="00FE4F89">
              <w:t>We have not lent the securities held on behalf of the clients to a third person except as provided under the regulations.</w:t>
            </w:r>
          </w:p>
        </w:tc>
      </w:tr>
      <w:tr w:rsidR="00FE4F89" w:rsidRPr="00FE4F89" w14:paraId="1589FD9C" w14:textId="77777777" w:rsidTr="00A47CCA">
        <w:trPr>
          <w:trHeight w:val="600"/>
        </w:trPr>
        <w:tc>
          <w:tcPr>
            <w:tcW w:w="1467" w:type="dxa"/>
            <w:noWrap/>
            <w:hideMark/>
          </w:tcPr>
          <w:p w14:paraId="730F7213" w14:textId="77777777" w:rsidR="00FE4F89" w:rsidRPr="00FE4F89" w:rsidRDefault="00FE4F89" w:rsidP="00FE4F89">
            <w:pPr>
              <w:rPr>
                <w:b/>
                <w:bCs/>
              </w:rPr>
            </w:pPr>
            <w:r w:rsidRPr="00FE4F89">
              <w:rPr>
                <w:b/>
                <w:bCs/>
              </w:rPr>
              <w:t>16</w:t>
            </w:r>
          </w:p>
        </w:tc>
        <w:tc>
          <w:tcPr>
            <w:tcW w:w="7049" w:type="dxa"/>
            <w:hideMark/>
          </w:tcPr>
          <w:p w14:paraId="32983DDC" w14:textId="77777777" w:rsidR="00FE4F89" w:rsidRPr="00FE4F89" w:rsidRDefault="00FE4F89">
            <w:r w:rsidRPr="00FE4F89">
              <w:t>Money or securities accepted by us are invested or managed in terms of the agreement between us and the client.</w:t>
            </w:r>
          </w:p>
        </w:tc>
      </w:tr>
      <w:tr w:rsidR="00FE4F89" w:rsidRPr="00FE4F89" w14:paraId="5DD4611D" w14:textId="77777777" w:rsidTr="00A47CCA">
        <w:trPr>
          <w:trHeight w:val="600"/>
        </w:trPr>
        <w:tc>
          <w:tcPr>
            <w:tcW w:w="1467" w:type="dxa"/>
            <w:noWrap/>
            <w:hideMark/>
          </w:tcPr>
          <w:p w14:paraId="69D31798" w14:textId="77777777" w:rsidR="00FE4F89" w:rsidRPr="00FE4F89" w:rsidRDefault="00FE4F89" w:rsidP="00FE4F89">
            <w:pPr>
              <w:rPr>
                <w:b/>
                <w:bCs/>
              </w:rPr>
            </w:pPr>
            <w:r w:rsidRPr="00FE4F89">
              <w:rPr>
                <w:b/>
                <w:bCs/>
              </w:rPr>
              <w:t>17</w:t>
            </w:r>
          </w:p>
        </w:tc>
        <w:tc>
          <w:tcPr>
            <w:tcW w:w="7049" w:type="dxa"/>
            <w:hideMark/>
          </w:tcPr>
          <w:p w14:paraId="623D1ED3" w14:textId="77777777" w:rsidR="00FE4F89" w:rsidRPr="00FE4F89" w:rsidRDefault="00FE4F89">
            <w:r w:rsidRPr="00FE4F89">
              <w:t xml:space="preserve">We have an </w:t>
            </w:r>
            <w:proofErr w:type="gramStart"/>
            <w:r w:rsidRPr="00FE4F89">
              <w:t>alert based</w:t>
            </w:r>
            <w:proofErr w:type="gramEnd"/>
            <w:r w:rsidRPr="00FE4F89">
              <w:t xml:space="preserve"> system in place to monitor compliance with the prudential limits on investments.</w:t>
            </w:r>
          </w:p>
        </w:tc>
      </w:tr>
      <w:tr w:rsidR="00FE4F89" w:rsidRPr="00FE4F89" w14:paraId="526E7B28" w14:textId="77777777" w:rsidTr="00A47CCA">
        <w:trPr>
          <w:trHeight w:val="600"/>
        </w:trPr>
        <w:tc>
          <w:tcPr>
            <w:tcW w:w="1467" w:type="dxa"/>
            <w:noWrap/>
            <w:hideMark/>
          </w:tcPr>
          <w:p w14:paraId="379E74EB" w14:textId="77777777" w:rsidR="00FE4F89" w:rsidRPr="00FE4F89" w:rsidRDefault="00FE4F89" w:rsidP="00FE4F89">
            <w:pPr>
              <w:rPr>
                <w:b/>
                <w:bCs/>
              </w:rPr>
            </w:pPr>
            <w:r w:rsidRPr="00FE4F89">
              <w:rPr>
                <w:b/>
                <w:bCs/>
              </w:rPr>
              <w:t>18</w:t>
            </w:r>
          </w:p>
        </w:tc>
        <w:tc>
          <w:tcPr>
            <w:tcW w:w="7049" w:type="dxa"/>
            <w:hideMark/>
          </w:tcPr>
          <w:p w14:paraId="54F83DFA" w14:textId="77777777" w:rsidR="00FE4F89" w:rsidRPr="00FE4F89" w:rsidRDefault="00FE4F89">
            <w:r w:rsidRPr="00FE4F89">
              <w:t>We have not invested the clients' funds in the portfolio managed or administered by another portfolio manager.</w:t>
            </w:r>
          </w:p>
        </w:tc>
      </w:tr>
      <w:tr w:rsidR="00FE4F89" w:rsidRPr="00FE4F89" w14:paraId="35A2E808" w14:textId="77777777" w:rsidTr="00A47CCA">
        <w:trPr>
          <w:trHeight w:val="600"/>
        </w:trPr>
        <w:tc>
          <w:tcPr>
            <w:tcW w:w="1467" w:type="dxa"/>
            <w:noWrap/>
            <w:hideMark/>
          </w:tcPr>
          <w:p w14:paraId="7377977A" w14:textId="77777777" w:rsidR="00FE4F89" w:rsidRPr="00FE4F89" w:rsidRDefault="00FE4F89" w:rsidP="00FE4F89">
            <w:pPr>
              <w:rPr>
                <w:b/>
                <w:bCs/>
              </w:rPr>
            </w:pPr>
            <w:r w:rsidRPr="00FE4F89">
              <w:rPr>
                <w:b/>
                <w:bCs/>
              </w:rPr>
              <w:t>19</w:t>
            </w:r>
          </w:p>
        </w:tc>
        <w:tc>
          <w:tcPr>
            <w:tcW w:w="7049" w:type="dxa"/>
            <w:hideMark/>
          </w:tcPr>
          <w:p w14:paraId="4DFB1D61" w14:textId="77777777" w:rsidR="00FE4F89" w:rsidRPr="00FE4F89" w:rsidRDefault="00FE4F89">
            <w:r w:rsidRPr="00FE4F89">
              <w:t>We have not invested client's fund based on the advice of any other entity.</w:t>
            </w:r>
          </w:p>
        </w:tc>
      </w:tr>
      <w:tr w:rsidR="00FE4F89" w:rsidRPr="00FE4F89" w14:paraId="7D2E8D0A" w14:textId="77777777" w:rsidTr="00A47CCA">
        <w:trPr>
          <w:trHeight w:val="600"/>
        </w:trPr>
        <w:tc>
          <w:tcPr>
            <w:tcW w:w="1467" w:type="dxa"/>
            <w:noWrap/>
            <w:hideMark/>
          </w:tcPr>
          <w:p w14:paraId="45AC53EC" w14:textId="77777777" w:rsidR="00FE4F89" w:rsidRPr="00FE4F89" w:rsidRDefault="00FE4F89" w:rsidP="00FE4F89">
            <w:pPr>
              <w:rPr>
                <w:b/>
                <w:bCs/>
              </w:rPr>
            </w:pPr>
            <w:r w:rsidRPr="00FE4F89">
              <w:rPr>
                <w:b/>
                <w:bCs/>
              </w:rPr>
              <w:t>20</w:t>
            </w:r>
          </w:p>
        </w:tc>
        <w:tc>
          <w:tcPr>
            <w:tcW w:w="7049" w:type="dxa"/>
            <w:hideMark/>
          </w:tcPr>
          <w:p w14:paraId="7F1C567A" w14:textId="77777777" w:rsidR="00FE4F89" w:rsidRPr="00FE4F89" w:rsidRDefault="00FE4F89">
            <w:r w:rsidRPr="00FE4F89">
              <w:t>We confirm ordinarily purchasing or selling of securities separately for each client and in the event of aggregation of purchases or sales for economy of scale, inter se allocation is done on a pro rata basis and at weighted average price of the day's transactions.</w:t>
            </w:r>
          </w:p>
        </w:tc>
      </w:tr>
      <w:tr w:rsidR="00FE4F89" w:rsidRPr="00FE4F89" w14:paraId="451F8196" w14:textId="77777777" w:rsidTr="00A47CCA">
        <w:trPr>
          <w:trHeight w:val="600"/>
        </w:trPr>
        <w:tc>
          <w:tcPr>
            <w:tcW w:w="1467" w:type="dxa"/>
            <w:noWrap/>
            <w:hideMark/>
          </w:tcPr>
          <w:p w14:paraId="7DE5A93F" w14:textId="77777777" w:rsidR="00FE4F89" w:rsidRPr="00FE4F89" w:rsidRDefault="00FE4F89" w:rsidP="00FE4F89">
            <w:pPr>
              <w:rPr>
                <w:b/>
                <w:bCs/>
              </w:rPr>
            </w:pPr>
            <w:r w:rsidRPr="00FE4F89">
              <w:rPr>
                <w:b/>
                <w:bCs/>
              </w:rPr>
              <w:t>21</w:t>
            </w:r>
          </w:p>
        </w:tc>
        <w:tc>
          <w:tcPr>
            <w:tcW w:w="7049" w:type="dxa"/>
            <w:hideMark/>
          </w:tcPr>
          <w:p w14:paraId="6E9AD663" w14:textId="77777777" w:rsidR="00FE4F89" w:rsidRPr="00FE4F89" w:rsidRDefault="00FE4F89">
            <w:r w:rsidRPr="00FE4F89">
              <w:t>We have segregated each clients' funds and portfolio of securities from his/her own funds and securities and are responsible for safekeeping of clients' funds and securities.</w:t>
            </w:r>
          </w:p>
        </w:tc>
      </w:tr>
      <w:tr w:rsidR="00FE4F89" w:rsidRPr="00FE4F89" w14:paraId="3B56700C" w14:textId="77777777" w:rsidTr="00A47CCA">
        <w:trPr>
          <w:trHeight w:val="600"/>
        </w:trPr>
        <w:tc>
          <w:tcPr>
            <w:tcW w:w="1467" w:type="dxa"/>
            <w:noWrap/>
            <w:hideMark/>
          </w:tcPr>
          <w:p w14:paraId="64BB2770" w14:textId="77777777" w:rsidR="00FE4F89" w:rsidRPr="00FE4F89" w:rsidRDefault="00FE4F89" w:rsidP="00FE4F89">
            <w:pPr>
              <w:rPr>
                <w:b/>
                <w:bCs/>
              </w:rPr>
            </w:pPr>
            <w:r w:rsidRPr="00FE4F89">
              <w:rPr>
                <w:b/>
                <w:bCs/>
              </w:rPr>
              <w:t>22</w:t>
            </w:r>
          </w:p>
        </w:tc>
        <w:tc>
          <w:tcPr>
            <w:tcW w:w="7049" w:type="dxa"/>
            <w:hideMark/>
          </w:tcPr>
          <w:p w14:paraId="7AE4EC9E" w14:textId="77777777" w:rsidR="00FE4F89" w:rsidRPr="00FE4F89" w:rsidRDefault="00FE4F89">
            <w:r w:rsidRPr="00FE4F89">
              <w:t>We have provided audited portfolio accounts to all clients as per Regulation 30.</w:t>
            </w:r>
          </w:p>
        </w:tc>
      </w:tr>
      <w:tr w:rsidR="00FE4F89" w:rsidRPr="00FE4F89" w14:paraId="4D34F6F0" w14:textId="77777777" w:rsidTr="00A47CCA">
        <w:trPr>
          <w:trHeight w:val="600"/>
        </w:trPr>
        <w:tc>
          <w:tcPr>
            <w:tcW w:w="1467" w:type="dxa"/>
            <w:noWrap/>
            <w:hideMark/>
          </w:tcPr>
          <w:p w14:paraId="7E153F91" w14:textId="77777777" w:rsidR="00FE4F89" w:rsidRPr="00FE4F89" w:rsidRDefault="00FE4F89" w:rsidP="00FE4F89">
            <w:pPr>
              <w:rPr>
                <w:b/>
                <w:bCs/>
              </w:rPr>
            </w:pPr>
            <w:r w:rsidRPr="00FE4F89">
              <w:rPr>
                <w:b/>
                <w:bCs/>
              </w:rPr>
              <w:t>23</w:t>
            </w:r>
          </w:p>
        </w:tc>
        <w:tc>
          <w:tcPr>
            <w:tcW w:w="7049" w:type="dxa"/>
            <w:hideMark/>
          </w:tcPr>
          <w:p w14:paraId="10349B42" w14:textId="77777777" w:rsidR="00FE4F89" w:rsidRPr="00FE4F89" w:rsidRDefault="00FE4F89">
            <w:r w:rsidRPr="00FE4F89">
              <w:t>Statements were furnished to all the client highlighting the details as per Regulation 31(1).</w:t>
            </w:r>
          </w:p>
        </w:tc>
      </w:tr>
      <w:tr w:rsidR="00FE4F89" w:rsidRPr="00FE4F89" w14:paraId="63714879" w14:textId="77777777" w:rsidTr="00A47CCA">
        <w:trPr>
          <w:trHeight w:val="600"/>
        </w:trPr>
        <w:tc>
          <w:tcPr>
            <w:tcW w:w="1467" w:type="dxa"/>
            <w:noWrap/>
            <w:hideMark/>
          </w:tcPr>
          <w:p w14:paraId="03F2255D" w14:textId="77777777" w:rsidR="00FE4F89" w:rsidRPr="00FE4F89" w:rsidRDefault="00FE4F89" w:rsidP="00FE4F89">
            <w:pPr>
              <w:rPr>
                <w:b/>
                <w:bCs/>
              </w:rPr>
            </w:pPr>
            <w:r w:rsidRPr="00FE4F89">
              <w:rPr>
                <w:b/>
                <w:bCs/>
              </w:rPr>
              <w:t>24</w:t>
            </w:r>
          </w:p>
        </w:tc>
        <w:tc>
          <w:tcPr>
            <w:tcW w:w="7049" w:type="dxa"/>
            <w:hideMark/>
          </w:tcPr>
          <w:p w14:paraId="7B9021E5" w14:textId="77777777" w:rsidR="00FE4F89" w:rsidRPr="00FE4F89" w:rsidRDefault="00FE4F89">
            <w:r w:rsidRPr="00FE4F89">
              <w:t>All clients whose contracts were terminated in the FY______ were provided with statement of account as per Regulation 31(3).</w:t>
            </w:r>
          </w:p>
        </w:tc>
      </w:tr>
      <w:tr w:rsidR="00FE4F89" w:rsidRPr="00FE4F89" w14:paraId="2154EB8E" w14:textId="77777777" w:rsidTr="00A47CCA">
        <w:trPr>
          <w:trHeight w:val="600"/>
        </w:trPr>
        <w:tc>
          <w:tcPr>
            <w:tcW w:w="1467" w:type="dxa"/>
            <w:noWrap/>
            <w:hideMark/>
          </w:tcPr>
          <w:p w14:paraId="0BF63495" w14:textId="77777777" w:rsidR="00FE4F89" w:rsidRPr="00FE4F89" w:rsidRDefault="00FE4F89" w:rsidP="00FE4F89">
            <w:pPr>
              <w:rPr>
                <w:b/>
                <w:bCs/>
              </w:rPr>
            </w:pPr>
            <w:r w:rsidRPr="00FE4F89">
              <w:rPr>
                <w:b/>
                <w:bCs/>
              </w:rPr>
              <w:t>25</w:t>
            </w:r>
          </w:p>
        </w:tc>
        <w:tc>
          <w:tcPr>
            <w:tcW w:w="7049" w:type="dxa"/>
            <w:hideMark/>
          </w:tcPr>
          <w:p w14:paraId="7F4BFDCF" w14:textId="77777777" w:rsidR="00FE4F89" w:rsidRPr="00FE4F89" w:rsidRDefault="00FE4F89">
            <w:r w:rsidRPr="00FE4F89">
              <w:t>All related party/</w:t>
            </w:r>
            <w:proofErr w:type="gramStart"/>
            <w:r w:rsidRPr="00FE4F89">
              <w:t>associates</w:t>
            </w:r>
            <w:proofErr w:type="gramEnd"/>
            <w:r w:rsidRPr="00FE4F89">
              <w:t xml:space="preserve"> transactions were carried out in compliance with regulatory provision.</w:t>
            </w:r>
          </w:p>
        </w:tc>
      </w:tr>
      <w:tr w:rsidR="00FE4F89" w:rsidRPr="00FE4F89" w14:paraId="1AEDDDCD" w14:textId="77777777" w:rsidTr="00A47CCA">
        <w:trPr>
          <w:trHeight w:val="600"/>
        </w:trPr>
        <w:tc>
          <w:tcPr>
            <w:tcW w:w="1467" w:type="dxa"/>
            <w:noWrap/>
            <w:hideMark/>
          </w:tcPr>
          <w:p w14:paraId="51DD7C14" w14:textId="77777777" w:rsidR="00FE4F89" w:rsidRPr="00FE4F89" w:rsidRDefault="00FE4F89" w:rsidP="00FE4F89">
            <w:pPr>
              <w:rPr>
                <w:b/>
                <w:bCs/>
              </w:rPr>
            </w:pPr>
            <w:r w:rsidRPr="00FE4F89">
              <w:rPr>
                <w:b/>
                <w:bCs/>
              </w:rPr>
              <w:t>26</w:t>
            </w:r>
          </w:p>
        </w:tc>
        <w:tc>
          <w:tcPr>
            <w:tcW w:w="7049" w:type="dxa"/>
            <w:hideMark/>
          </w:tcPr>
          <w:p w14:paraId="38EDEEC5" w14:textId="77777777" w:rsidR="00FE4F89" w:rsidRPr="00FE4F89" w:rsidRDefault="00FE4F89">
            <w:r w:rsidRPr="00FE4F89">
              <w:t>We have dispatched/sent physical copy of periodic report to clients as required under Regulation 31(1) of SEBI(PMS) Regulations, 2020 in instances of failure/rejections/returned undelivered emails regarding the same.</w:t>
            </w:r>
          </w:p>
        </w:tc>
      </w:tr>
      <w:tr w:rsidR="00FE4F89" w:rsidRPr="00FE4F89" w14:paraId="1C96BDB5" w14:textId="77777777" w:rsidTr="00A47CCA">
        <w:trPr>
          <w:trHeight w:val="290"/>
        </w:trPr>
        <w:tc>
          <w:tcPr>
            <w:tcW w:w="1467" w:type="dxa"/>
            <w:noWrap/>
            <w:hideMark/>
          </w:tcPr>
          <w:p w14:paraId="27296E54" w14:textId="77777777" w:rsidR="00FE4F89" w:rsidRPr="00FE4F89" w:rsidRDefault="00FE4F89"/>
        </w:tc>
        <w:tc>
          <w:tcPr>
            <w:tcW w:w="7049" w:type="dxa"/>
            <w:noWrap/>
            <w:hideMark/>
          </w:tcPr>
          <w:p w14:paraId="7B7A442F" w14:textId="77777777" w:rsidR="00FE4F89" w:rsidRPr="00FE4F89" w:rsidRDefault="00FE4F89">
            <w:pPr>
              <w:rPr>
                <w:b/>
                <w:bCs/>
              </w:rPr>
            </w:pPr>
            <w:r w:rsidRPr="00FE4F89">
              <w:rPr>
                <w:b/>
                <w:bCs/>
              </w:rPr>
              <w:t>For and on Behalf of</w:t>
            </w:r>
          </w:p>
        </w:tc>
      </w:tr>
      <w:tr w:rsidR="00FE4F89" w:rsidRPr="00FE4F89" w14:paraId="3D5DAF83" w14:textId="77777777" w:rsidTr="00A47CCA">
        <w:trPr>
          <w:trHeight w:val="290"/>
        </w:trPr>
        <w:tc>
          <w:tcPr>
            <w:tcW w:w="1467" w:type="dxa"/>
            <w:noWrap/>
            <w:hideMark/>
          </w:tcPr>
          <w:p w14:paraId="5DF87B54" w14:textId="77777777" w:rsidR="00FE4F89" w:rsidRPr="00FE4F89" w:rsidRDefault="00FE4F89">
            <w:pPr>
              <w:rPr>
                <w:b/>
                <w:bCs/>
              </w:rPr>
            </w:pPr>
          </w:p>
        </w:tc>
        <w:tc>
          <w:tcPr>
            <w:tcW w:w="7049" w:type="dxa"/>
            <w:noWrap/>
            <w:hideMark/>
          </w:tcPr>
          <w:p w14:paraId="20A036A9" w14:textId="77777777" w:rsidR="00FE4F89" w:rsidRPr="00FE4F89" w:rsidRDefault="00FE4F89">
            <w:r w:rsidRPr="00FE4F89">
              <w:t>(Entity Name): ________________________</w:t>
            </w:r>
          </w:p>
        </w:tc>
      </w:tr>
      <w:tr w:rsidR="00FE4F89" w:rsidRPr="00FE4F89" w14:paraId="5DF128BF" w14:textId="77777777" w:rsidTr="00A47CCA">
        <w:trPr>
          <w:trHeight w:val="290"/>
        </w:trPr>
        <w:tc>
          <w:tcPr>
            <w:tcW w:w="1467" w:type="dxa"/>
            <w:noWrap/>
            <w:hideMark/>
          </w:tcPr>
          <w:p w14:paraId="4E22FE52" w14:textId="77777777" w:rsidR="00FE4F89" w:rsidRPr="00FE4F89" w:rsidRDefault="00FE4F89"/>
        </w:tc>
        <w:tc>
          <w:tcPr>
            <w:tcW w:w="7049" w:type="dxa"/>
            <w:noWrap/>
            <w:hideMark/>
          </w:tcPr>
          <w:p w14:paraId="2F835F70" w14:textId="77777777" w:rsidR="00FE4F89" w:rsidRPr="00FE4F89" w:rsidRDefault="00FE4F89"/>
        </w:tc>
      </w:tr>
      <w:tr w:rsidR="00FE4F89" w:rsidRPr="00FE4F89" w14:paraId="614AE7F4" w14:textId="77777777" w:rsidTr="00A47CCA">
        <w:trPr>
          <w:trHeight w:val="290"/>
        </w:trPr>
        <w:tc>
          <w:tcPr>
            <w:tcW w:w="1467" w:type="dxa"/>
            <w:noWrap/>
            <w:hideMark/>
          </w:tcPr>
          <w:p w14:paraId="07B51828" w14:textId="77777777" w:rsidR="00FE4F89" w:rsidRPr="00FE4F89" w:rsidRDefault="00FE4F89"/>
        </w:tc>
        <w:tc>
          <w:tcPr>
            <w:tcW w:w="7049" w:type="dxa"/>
            <w:noWrap/>
            <w:hideMark/>
          </w:tcPr>
          <w:p w14:paraId="496C782B" w14:textId="77777777" w:rsidR="00FE4F89" w:rsidRPr="00FE4F89" w:rsidRDefault="00FE4F89">
            <w:r w:rsidRPr="00FE4F89">
              <w:t>Signature of the Principal Officer: ________________________</w:t>
            </w:r>
          </w:p>
        </w:tc>
      </w:tr>
      <w:tr w:rsidR="00FE4F89" w:rsidRPr="00FE4F89" w14:paraId="067CA913" w14:textId="77777777" w:rsidTr="00A47CCA">
        <w:trPr>
          <w:trHeight w:val="290"/>
        </w:trPr>
        <w:tc>
          <w:tcPr>
            <w:tcW w:w="1467" w:type="dxa"/>
            <w:noWrap/>
            <w:hideMark/>
          </w:tcPr>
          <w:p w14:paraId="11B16FC8" w14:textId="77777777" w:rsidR="00FE4F89" w:rsidRPr="00FE4F89" w:rsidRDefault="00FE4F89"/>
        </w:tc>
        <w:tc>
          <w:tcPr>
            <w:tcW w:w="7049" w:type="dxa"/>
            <w:noWrap/>
            <w:hideMark/>
          </w:tcPr>
          <w:p w14:paraId="5F1A13F6" w14:textId="77777777" w:rsidR="00FE4F89" w:rsidRPr="00FE4F89" w:rsidRDefault="00FE4F89">
            <w:r w:rsidRPr="00FE4F89">
              <w:t>Name: ________________________</w:t>
            </w:r>
          </w:p>
        </w:tc>
      </w:tr>
      <w:tr w:rsidR="00FE4F89" w:rsidRPr="00FE4F89" w14:paraId="121E2830" w14:textId="77777777" w:rsidTr="00A47CCA">
        <w:trPr>
          <w:trHeight w:val="290"/>
        </w:trPr>
        <w:tc>
          <w:tcPr>
            <w:tcW w:w="1467" w:type="dxa"/>
            <w:noWrap/>
            <w:hideMark/>
          </w:tcPr>
          <w:p w14:paraId="776EF62C" w14:textId="77777777" w:rsidR="00FE4F89" w:rsidRPr="00FE4F89" w:rsidRDefault="00FE4F89"/>
        </w:tc>
        <w:tc>
          <w:tcPr>
            <w:tcW w:w="7049" w:type="dxa"/>
            <w:noWrap/>
            <w:hideMark/>
          </w:tcPr>
          <w:p w14:paraId="76E6DFA1" w14:textId="77777777" w:rsidR="00FE4F89" w:rsidRPr="00FE4F89" w:rsidRDefault="00FE4F89">
            <w:r w:rsidRPr="00FE4F89">
              <w:t>Date: ________________________</w:t>
            </w:r>
          </w:p>
        </w:tc>
      </w:tr>
      <w:tr w:rsidR="00FE4F89" w:rsidRPr="00FE4F89" w14:paraId="27B26C1E" w14:textId="77777777" w:rsidTr="00A47CCA">
        <w:trPr>
          <w:trHeight w:val="290"/>
        </w:trPr>
        <w:tc>
          <w:tcPr>
            <w:tcW w:w="1467" w:type="dxa"/>
            <w:noWrap/>
            <w:hideMark/>
          </w:tcPr>
          <w:p w14:paraId="29F8874A" w14:textId="77777777" w:rsidR="00FE4F89" w:rsidRPr="00FE4F89" w:rsidRDefault="00FE4F89"/>
        </w:tc>
        <w:tc>
          <w:tcPr>
            <w:tcW w:w="7049" w:type="dxa"/>
            <w:noWrap/>
            <w:hideMark/>
          </w:tcPr>
          <w:p w14:paraId="3E6AF128" w14:textId="77777777" w:rsidR="00FE4F89" w:rsidRPr="00FE4F89" w:rsidRDefault="00FE4F89">
            <w:r w:rsidRPr="00FE4F89">
              <w:t>Stamp:</w:t>
            </w:r>
          </w:p>
        </w:tc>
      </w:tr>
    </w:tbl>
    <w:p w14:paraId="62256984" w14:textId="77777777" w:rsidR="00BF6C70" w:rsidRPr="00ED16B6" w:rsidRDefault="00BF6C70" w:rsidP="00ED16B6"/>
    <w:sectPr w:rsidR="00BF6C70" w:rsidRPr="00ED16B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B0422" w14:textId="77777777" w:rsidR="00BF3DF8" w:rsidRDefault="00BF3DF8" w:rsidP="00A47CCA">
      <w:pPr>
        <w:spacing w:after="0" w:line="240" w:lineRule="auto"/>
      </w:pPr>
      <w:r>
        <w:separator/>
      </w:r>
    </w:p>
  </w:endnote>
  <w:endnote w:type="continuationSeparator" w:id="0">
    <w:p w14:paraId="0BEC91EB" w14:textId="77777777" w:rsidR="00BF3DF8" w:rsidRDefault="00BF3DF8" w:rsidP="00A4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692C" w14:textId="77777777" w:rsidR="00BF3DF8" w:rsidRDefault="00BF3DF8" w:rsidP="00A47CCA">
      <w:pPr>
        <w:spacing w:after="0" w:line="240" w:lineRule="auto"/>
      </w:pPr>
      <w:r>
        <w:separator/>
      </w:r>
    </w:p>
  </w:footnote>
  <w:footnote w:type="continuationSeparator" w:id="0">
    <w:p w14:paraId="77DAC3CA" w14:textId="77777777" w:rsidR="00BF3DF8" w:rsidRDefault="00BF3DF8" w:rsidP="00A47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05C7" w14:textId="6EFF9DCC" w:rsidR="00A47CCA" w:rsidRDefault="00A47CCA">
    <w:pPr>
      <w:pStyle w:val="Header"/>
      <w:rPr>
        <w:lang w:val="en-US"/>
      </w:rPr>
    </w:pPr>
    <w:r>
      <w:rPr>
        <w:lang w:val="en-US"/>
      </w:rPr>
      <w:t>Letterhead of the company</w:t>
    </w:r>
  </w:p>
  <w:p w14:paraId="7023359A" w14:textId="77777777" w:rsidR="00A47CCA" w:rsidRPr="00A47CCA" w:rsidRDefault="00A47CCA">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C70"/>
    <w:rsid w:val="004418D5"/>
    <w:rsid w:val="00A33700"/>
    <w:rsid w:val="00A47CCA"/>
    <w:rsid w:val="00BF3DF8"/>
    <w:rsid w:val="00BF6C70"/>
    <w:rsid w:val="00ED16B6"/>
    <w:rsid w:val="00FE4F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A46D"/>
  <w15:chartTrackingRefBased/>
  <w15:docId w15:val="{2D46B6C6-30F0-42EA-BF1F-57E67885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C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6C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6C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6C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6C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6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C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C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C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C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C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C70"/>
    <w:rPr>
      <w:rFonts w:eastAsiaTheme="majorEastAsia" w:cstheme="majorBidi"/>
      <w:color w:val="272727" w:themeColor="text1" w:themeTint="D8"/>
    </w:rPr>
  </w:style>
  <w:style w:type="paragraph" w:styleId="Title">
    <w:name w:val="Title"/>
    <w:basedOn w:val="Normal"/>
    <w:next w:val="Normal"/>
    <w:link w:val="TitleChar"/>
    <w:uiPriority w:val="10"/>
    <w:qFormat/>
    <w:rsid w:val="00BF6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C70"/>
    <w:pPr>
      <w:spacing w:before="160"/>
      <w:jc w:val="center"/>
    </w:pPr>
    <w:rPr>
      <w:i/>
      <w:iCs/>
      <w:color w:val="404040" w:themeColor="text1" w:themeTint="BF"/>
    </w:rPr>
  </w:style>
  <w:style w:type="character" w:customStyle="1" w:styleId="QuoteChar">
    <w:name w:val="Quote Char"/>
    <w:basedOn w:val="DefaultParagraphFont"/>
    <w:link w:val="Quote"/>
    <w:uiPriority w:val="29"/>
    <w:rsid w:val="00BF6C70"/>
    <w:rPr>
      <w:i/>
      <w:iCs/>
      <w:color w:val="404040" w:themeColor="text1" w:themeTint="BF"/>
    </w:rPr>
  </w:style>
  <w:style w:type="paragraph" w:styleId="ListParagraph">
    <w:name w:val="List Paragraph"/>
    <w:basedOn w:val="Normal"/>
    <w:uiPriority w:val="34"/>
    <w:qFormat/>
    <w:rsid w:val="00BF6C70"/>
    <w:pPr>
      <w:ind w:left="720"/>
      <w:contextualSpacing/>
    </w:pPr>
  </w:style>
  <w:style w:type="character" w:styleId="IntenseEmphasis">
    <w:name w:val="Intense Emphasis"/>
    <w:basedOn w:val="DefaultParagraphFont"/>
    <w:uiPriority w:val="21"/>
    <w:qFormat/>
    <w:rsid w:val="00BF6C70"/>
    <w:rPr>
      <w:i/>
      <w:iCs/>
      <w:color w:val="2F5496" w:themeColor="accent1" w:themeShade="BF"/>
    </w:rPr>
  </w:style>
  <w:style w:type="paragraph" w:styleId="IntenseQuote">
    <w:name w:val="Intense Quote"/>
    <w:basedOn w:val="Normal"/>
    <w:next w:val="Normal"/>
    <w:link w:val="IntenseQuoteChar"/>
    <w:uiPriority w:val="30"/>
    <w:qFormat/>
    <w:rsid w:val="00BF6C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C70"/>
    <w:rPr>
      <w:i/>
      <w:iCs/>
      <w:color w:val="2F5496" w:themeColor="accent1" w:themeShade="BF"/>
    </w:rPr>
  </w:style>
  <w:style w:type="character" w:styleId="IntenseReference">
    <w:name w:val="Intense Reference"/>
    <w:basedOn w:val="DefaultParagraphFont"/>
    <w:uiPriority w:val="32"/>
    <w:qFormat/>
    <w:rsid w:val="00BF6C70"/>
    <w:rPr>
      <w:b/>
      <w:bCs/>
      <w:smallCaps/>
      <w:color w:val="2F5496" w:themeColor="accent1" w:themeShade="BF"/>
      <w:spacing w:val="5"/>
    </w:rPr>
  </w:style>
  <w:style w:type="table" w:styleId="TableGrid">
    <w:name w:val="Table Grid"/>
    <w:basedOn w:val="TableNormal"/>
    <w:uiPriority w:val="39"/>
    <w:rsid w:val="00FE4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7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CCA"/>
  </w:style>
  <w:style w:type="paragraph" w:styleId="Footer">
    <w:name w:val="footer"/>
    <w:basedOn w:val="Normal"/>
    <w:link w:val="FooterChar"/>
    <w:uiPriority w:val="99"/>
    <w:unhideWhenUsed/>
    <w:rsid w:val="00A47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 Shah</dc:creator>
  <cp:keywords/>
  <dc:description/>
  <cp:lastModifiedBy>Sanjay Shah</cp:lastModifiedBy>
  <cp:revision>5</cp:revision>
  <dcterms:created xsi:type="dcterms:W3CDTF">2026-05-10T08:51:00Z</dcterms:created>
  <dcterms:modified xsi:type="dcterms:W3CDTF">2026-05-10T08:58:00Z</dcterms:modified>
</cp:coreProperties>
</file>